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rPr>
      </w:pPr>
      <w:r>
        <w:rPr>
          <w:rFonts w:hint="eastAsia" w:ascii="黑体" w:hAnsi="黑体" w:eastAsia="黑体" w:cs="宋体"/>
          <w:color w:val="333333"/>
          <w:sz w:val="32"/>
          <w:szCs w:val="32"/>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ascii="方正小标宋_GBK" w:hAnsi="华文中宋" w:eastAsia="方正小标宋_GBK" w:cs="宋体"/>
          <w:b/>
          <w:kern w:val="0"/>
          <w:sz w:val="48"/>
          <w:szCs w:val="48"/>
        </w:rPr>
        <w:t>特克斯县供销社</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部门单位名称（公章）：特克斯县供销合作社联合社</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年04月25日</w:t>
      </w:r>
    </w:p>
    <w:p>
      <w:pPr>
        <w:pStyle w:val="2"/>
        <w:spacing w:line="360" w:lineRule="auto"/>
        <w:rPr>
          <w:rFonts w:ascii="仿宋" w:hAnsi="仿宋" w:eastAsia="仿宋"/>
          <w:sz w:val="36"/>
          <w:szCs w:val="36"/>
        </w:rPr>
      </w:pPr>
      <w:bookmarkStart w:id="1" w:name="_Toc70450289"/>
      <w:r>
        <w:rPr>
          <w:rFonts w:hint="eastAsia" w:ascii="仿宋" w:hAnsi="仿宋" w:eastAsia="仿宋"/>
          <w:sz w:val="36"/>
          <w:szCs w:val="36"/>
        </w:rPr>
        <w:t>一、基本概况</w:t>
      </w:r>
      <w:bookmarkEnd w:id="1"/>
    </w:p>
    <w:p>
      <w:pPr>
        <w:pStyle w:val="4"/>
        <w:spacing w:line="360" w:lineRule="auto"/>
        <w:rPr>
          <w:rStyle w:val="17"/>
          <w:rFonts w:ascii="仿宋" w:hAnsi="仿宋" w:eastAsia="仿宋"/>
          <w:b/>
          <w:bCs/>
        </w:rPr>
      </w:pPr>
      <w:bookmarkStart w:id="2" w:name="_Toc70450290"/>
      <w:r>
        <w:rPr>
          <w:rStyle w:val="17"/>
          <w:rFonts w:hint="eastAsia" w:ascii="仿宋" w:hAnsi="仿宋" w:eastAsia="仿宋"/>
          <w:b/>
          <w:bCs/>
        </w:rPr>
        <w:t>（一）部门单位基本情况</w:t>
      </w:r>
      <w:bookmarkEnd w:id="2"/>
    </w:p>
    <w:p>
      <w:pPr>
        <w:pStyle w:val="5"/>
        <w:spacing w:line="360" w:lineRule="auto"/>
        <w:ind w:firstLine="562" w:firstLineChars="200"/>
        <w:rPr>
          <w:rStyle w:val="17"/>
          <w:rFonts w:ascii="仿宋" w:hAnsi="仿宋" w:eastAsia="仿宋"/>
          <w:b/>
          <w:bCs/>
        </w:rPr>
      </w:pPr>
      <w:bookmarkStart w:id="3" w:name="_Toc70450291"/>
      <w:r>
        <w:rPr>
          <w:rStyle w:val="17"/>
          <w:rFonts w:ascii="仿宋" w:hAnsi="仿宋" w:eastAsia="仿宋"/>
          <w:b/>
          <w:bCs/>
        </w:rPr>
        <w:t>1</w:t>
      </w:r>
      <w:r>
        <w:rPr>
          <w:rStyle w:val="17"/>
          <w:rFonts w:hint="eastAsia" w:ascii="仿宋" w:hAnsi="仿宋" w:eastAsia="仿宋"/>
          <w:b/>
          <w:bCs/>
        </w:rPr>
        <w:t>、主要职能</w:t>
      </w:r>
      <w:bookmarkEnd w:id="3"/>
    </w:p>
    <w:p>
      <w:pPr>
        <w:widowControl/>
        <w:spacing w:line="520" w:lineRule="atLeast"/>
        <w:ind w:firstLine="560" w:firstLineChars="200"/>
        <w:jc w:val="left"/>
        <w:rPr>
          <w:rFonts w:ascii="仿宋_GB2312" w:eastAsia="仿宋_GB2312"/>
          <w:sz w:val="28"/>
          <w:szCs w:val="36"/>
        </w:rPr>
      </w:pPr>
      <w:bookmarkStart w:id="4" w:name="_Toc70450292"/>
      <w:r>
        <w:rPr>
          <w:rFonts w:ascii="仿宋_GB2312" w:eastAsia="仿宋_GB2312"/>
          <w:sz w:val="28"/>
          <w:szCs w:val="36"/>
        </w:rPr>
        <w:t>1.贯彻落实党和政府有关农村经济和社会发展的方针、政策和法规;研究制定全县供销社和农村合作经济组织的发展战略和发展规划。</w:t>
      </w:r>
    </w:p>
    <w:p>
      <w:pPr>
        <w:widowControl/>
        <w:spacing w:line="520" w:lineRule="atLeast"/>
        <w:ind w:firstLine="560" w:firstLineChars="200"/>
        <w:jc w:val="left"/>
        <w:rPr>
          <w:rFonts w:ascii="仿宋_GB2312" w:eastAsia="仿宋_GB2312"/>
          <w:sz w:val="28"/>
          <w:szCs w:val="36"/>
        </w:rPr>
      </w:pPr>
      <w:r>
        <w:rPr>
          <w:rFonts w:ascii="仿宋_GB2312" w:eastAsia="仿宋_GB2312"/>
          <w:sz w:val="28"/>
          <w:szCs w:val="36"/>
        </w:rPr>
        <w:t>2.负责有关农村流通体制改革，发展和完善有关农村农业生产资料和消费品市场体系建设，指导推进有关农村流通现代化及连锁经营、物流配送.电子商务等现代流通方式，改造传统经营网络。</w:t>
      </w:r>
    </w:p>
    <w:p>
      <w:pPr>
        <w:widowControl/>
        <w:spacing w:line="520" w:lineRule="atLeast"/>
        <w:ind w:firstLine="560" w:firstLineChars="200"/>
        <w:jc w:val="left"/>
        <w:rPr>
          <w:rFonts w:ascii="仿宋_GB2312" w:eastAsia="仿宋_GB2312"/>
          <w:sz w:val="28"/>
          <w:szCs w:val="36"/>
        </w:rPr>
      </w:pPr>
      <w:r>
        <w:rPr>
          <w:rFonts w:ascii="仿宋_GB2312" w:eastAsia="仿宋_GB2312"/>
          <w:sz w:val="28"/>
          <w:szCs w:val="36"/>
        </w:rPr>
        <w:t>3.按照县人民政府授权，负责对重要农业生产资料、农副产品、农药、边销茶、食用盐、工业用盐，烟花爆竹和再生资源的组织、协调和经营管理工作。</w:t>
      </w:r>
    </w:p>
    <w:p>
      <w:pPr>
        <w:widowControl/>
        <w:spacing w:line="520" w:lineRule="atLeast"/>
        <w:ind w:firstLine="560" w:firstLineChars="200"/>
        <w:jc w:val="left"/>
        <w:rPr>
          <w:rFonts w:ascii="仿宋_GB2312" w:eastAsia="仿宋_GB2312"/>
          <w:sz w:val="28"/>
          <w:szCs w:val="36"/>
        </w:rPr>
      </w:pPr>
      <w:r>
        <w:rPr>
          <w:rFonts w:ascii="仿宋_GB2312" w:eastAsia="仿宋_GB2312"/>
          <w:sz w:val="28"/>
          <w:szCs w:val="36"/>
        </w:rPr>
        <w:t>4.贯彻落实《农民专业合作社法》，维护各级供销社、社办企业、农村合作经济组织和全体社员的合法权益。</w:t>
      </w:r>
    </w:p>
    <w:p>
      <w:pPr>
        <w:widowControl/>
        <w:spacing w:line="520" w:lineRule="atLeast"/>
        <w:ind w:firstLine="560" w:firstLineChars="200"/>
        <w:jc w:val="left"/>
        <w:rPr>
          <w:rFonts w:ascii="仿宋_GB2312" w:eastAsia="仿宋_GB2312"/>
          <w:sz w:val="28"/>
          <w:szCs w:val="36"/>
        </w:rPr>
      </w:pPr>
      <w:r>
        <w:rPr>
          <w:rFonts w:ascii="仿宋_GB2312" w:eastAsia="仿宋_GB2312"/>
          <w:sz w:val="28"/>
          <w:szCs w:val="36"/>
        </w:rPr>
        <w:t>5.行使县供销社社有资产出资人代表职能，监督社有资产保值增值，对社属控参股企业进行监管。</w:t>
      </w:r>
    </w:p>
    <w:p>
      <w:pPr>
        <w:widowControl/>
        <w:spacing w:line="520" w:lineRule="atLeast"/>
        <w:ind w:firstLine="560" w:firstLineChars="200"/>
        <w:jc w:val="left"/>
        <w:rPr>
          <w:rFonts w:ascii="仿宋_GB2312" w:eastAsia="仿宋_GB2312"/>
          <w:sz w:val="28"/>
          <w:szCs w:val="36"/>
        </w:rPr>
      </w:pPr>
      <w:r>
        <w:rPr>
          <w:rFonts w:ascii="仿宋_GB2312" w:eastAsia="仿宋_GB2312"/>
          <w:sz w:val="28"/>
          <w:szCs w:val="36"/>
        </w:rPr>
        <w:t xml:space="preserve">6.按照干部管理权限，负贵县供销社机关及社属控参股企业的干部人事管理工作;负责全县供销社系统干部和职工的教育与培训工作;指导有关行业协会、学会的工作。                  </w:t>
      </w:r>
    </w:p>
    <w:p>
      <w:pPr>
        <w:widowControl/>
        <w:spacing w:line="520" w:lineRule="atLeast"/>
        <w:ind w:firstLine="560" w:firstLineChars="200"/>
        <w:jc w:val="left"/>
        <w:rPr>
          <w:rFonts w:ascii="仿宋_GB2312" w:eastAsia="仿宋_GB2312"/>
          <w:sz w:val="28"/>
          <w:szCs w:val="36"/>
        </w:rPr>
      </w:pPr>
      <w:r>
        <w:rPr>
          <w:rFonts w:ascii="仿宋_GB2312" w:eastAsia="仿宋_GB2312"/>
          <w:sz w:val="28"/>
          <w:szCs w:val="36"/>
        </w:rPr>
        <w:t xml:space="preserve">     7.负责县供销社机关及县盐务局，直属企业党的建设、党风廉政建设工作。</w:t>
      </w:r>
    </w:p>
    <w:p>
      <w:pPr>
        <w:widowControl/>
        <w:spacing w:line="520" w:lineRule="atLeast"/>
        <w:ind w:firstLine="560" w:firstLineChars="200"/>
        <w:jc w:val="left"/>
        <w:rPr>
          <w:rFonts w:ascii="仿宋_GB2312" w:eastAsia="仿宋_GB2312"/>
          <w:sz w:val="28"/>
          <w:szCs w:val="36"/>
        </w:rPr>
      </w:pPr>
      <w:r>
        <w:rPr>
          <w:rFonts w:ascii="仿宋_GB2312" w:eastAsia="仿宋_GB2312"/>
          <w:sz w:val="28"/>
          <w:szCs w:val="36"/>
        </w:rPr>
        <w:t>8.承办县委、县人民政府和自治州供销合作社交办的其它事项。</w:t>
      </w:r>
    </w:p>
    <w:p>
      <w:pPr>
        <w:pStyle w:val="5"/>
        <w:spacing w:line="360" w:lineRule="auto"/>
        <w:ind w:firstLine="562" w:firstLineChars="200"/>
        <w:rPr>
          <w:rStyle w:val="17"/>
          <w:rFonts w:ascii="仿宋" w:hAnsi="仿宋" w:eastAsia="仿宋"/>
          <w:b/>
          <w:bCs/>
        </w:rPr>
      </w:pPr>
      <w:r>
        <w:rPr>
          <w:rStyle w:val="17"/>
          <w:rFonts w:hint="eastAsia" w:ascii="仿宋" w:hAnsi="仿宋" w:eastAsia="仿宋"/>
          <w:b/>
          <w:bCs/>
        </w:rPr>
        <w:t>2、机构人员构成</w:t>
      </w:r>
      <w:bookmarkEnd w:id="4"/>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（1）组织机构设置：</w:t>
      </w:r>
    </w:p>
    <w:p>
      <w:pPr>
        <w:spacing w:line="700" w:lineRule="exact"/>
        <w:ind w:firstLine="408" w:firstLineChars="150"/>
        <w:jc w:val="left"/>
        <w:rPr>
          <w:rFonts w:ascii="仿宋_GB2312"/>
          <w:sz w:val="28"/>
        </w:rPr>
      </w:pPr>
      <w:r>
        <w:rPr>
          <w:rStyle w:val="17"/>
          <w:rFonts w:hint="eastAsia" w:ascii="仿宋_GB2312" w:hAnsi="楷体" w:eastAsia="仿宋_GB2312"/>
          <w:b w:val="0"/>
          <w:spacing w:val="-4"/>
          <w:sz w:val="28"/>
          <w:szCs w:val="28"/>
        </w:rPr>
        <w:t>特克斯县供销合作社联合社无下属预算单位，下设2个</w:t>
      </w:r>
      <w:r>
        <w:rPr>
          <w:rStyle w:val="17"/>
          <w:rFonts w:hint="eastAsia" w:ascii="仿宋_GB2312" w:hAnsi="楷体" w:eastAsia="仿宋_GB2312"/>
          <w:b w:val="0"/>
          <w:spacing w:val="-4"/>
          <w:sz w:val="28"/>
          <w:szCs w:val="28"/>
          <w:lang w:eastAsia="zh-CN"/>
        </w:rPr>
        <w:t>科</w:t>
      </w:r>
      <w:r>
        <w:rPr>
          <w:rStyle w:val="17"/>
          <w:rFonts w:hint="eastAsia" w:ascii="仿宋_GB2312" w:hAnsi="楷体" w:eastAsia="仿宋_GB2312"/>
          <w:b w:val="0"/>
          <w:spacing w:val="-4"/>
          <w:sz w:val="28"/>
          <w:szCs w:val="28"/>
        </w:rPr>
        <w:t>室，分别是：</w:t>
      </w:r>
      <w:r>
        <w:rPr>
          <w:rFonts w:ascii="仿宋_GB2312" w:eastAsia="仿宋_GB2312"/>
          <w:sz w:val="28"/>
          <w:szCs w:val="36"/>
        </w:rPr>
        <w:t>1.办公室</w:t>
      </w:r>
      <w:r>
        <w:rPr>
          <w:rFonts w:hint="eastAsia" w:ascii="仿宋_GB2312" w:eastAsia="仿宋_GB2312"/>
          <w:sz w:val="28"/>
          <w:szCs w:val="36"/>
        </w:rPr>
        <w:t>，</w:t>
      </w:r>
      <w:r>
        <w:rPr>
          <w:rFonts w:ascii="仿宋_GB2312" w:eastAsia="仿宋_GB2312"/>
          <w:sz w:val="28"/>
          <w:szCs w:val="36"/>
        </w:rPr>
        <w:t>2、业务办公室</w:t>
      </w:r>
      <w:r>
        <w:rPr>
          <w:rFonts w:hint="eastAsia"/>
          <w:bCs/>
          <w:szCs w:val="36"/>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（2）2021年特克斯县供销合作社联合社实有在职</w:t>
      </w:r>
      <w:r>
        <w:rPr>
          <w:rStyle w:val="17"/>
          <w:rFonts w:hint="eastAsia" w:ascii="仿宋_GB2312" w:hAnsi="楷体" w:eastAsia="仿宋_GB2312"/>
          <w:b w:val="0"/>
          <w:spacing w:val="-4"/>
          <w:sz w:val="28"/>
          <w:szCs w:val="28"/>
          <w:highlight w:val="none"/>
        </w:rPr>
        <w:t>人员为11人，</w:t>
      </w:r>
      <w:r>
        <w:rPr>
          <w:rStyle w:val="17"/>
          <w:rFonts w:hint="eastAsia" w:ascii="仿宋_GB2312" w:hAnsi="楷体" w:eastAsia="仿宋_GB2312"/>
          <w:b w:val="0"/>
          <w:spacing w:val="-4"/>
          <w:sz w:val="28"/>
          <w:szCs w:val="28"/>
        </w:rPr>
        <w:t>其中：</w:t>
      </w:r>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行政在职0人（上年0人），与上年一致；</w:t>
      </w:r>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cs="Times New Roman"/>
          <w:b w:val="0"/>
          <w:spacing w:val="-4"/>
          <w:sz w:val="28"/>
          <w:szCs w:val="28"/>
          <w:lang w:eastAsia="zh-CN"/>
        </w:rPr>
        <w:t>事业</w:t>
      </w:r>
      <w:r>
        <w:rPr>
          <w:rStyle w:val="17"/>
          <w:rFonts w:hint="eastAsia" w:ascii="仿宋_GB2312" w:hAnsi="楷体" w:eastAsia="仿宋_GB2312" w:cs="Times New Roman"/>
          <w:b w:val="0"/>
          <w:spacing w:val="-4"/>
          <w:sz w:val="28"/>
          <w:szCs w:val="28"/>
        </w:rPr>
        <w:t>在职</w:t>
      </w:r>
      <w:r>
        <w:rPr>
          <w:rStyle w:val="17"/>
          <w:rFonts w:hint="eastAsia" w:ascii="仿宋_GB2312" w:hAnsi="楷体" w:eastAsia="仿宋_GB2312" w:cs="Times New Roman"/>
          <w:b w:val="0"/>
          <w:spacing w:val="-4"/>
          <w:sz w:val="28"/>
          <w:szCs w:val="28"/>
          <w:lang w:val="en-US" w:eastAsia="zh-CN"/>
        </w:rPr>
        <w:t>11</w:t>
      </w:r>
      <w:r>
        <w:rPr>
          <w:rStyle w:val="17"/>
          <w:rFonts w:hint="eastAsia" w:ascii="仿宋_GB2312" w:hAnsi="楷体" w:eastAsia="仿宋_GB2312" w:cs="Times New Roman"/>
          <w:b w:val="0"/>
          <w:spacing w:val="-4"/>
          <w:sz w:val="28"/>
          <w:szCs w:val="28"/>
        </w:rPr>
        <w:t>人（上年</w:t>
      </w:r>
      <w:r>
        <w:rPr>
          <w:rStyle w:val="17"/>
          <w:rFonts w:hint="eastAsia" w:ascii="仿宋_GB2312" w:hAnsi="楷体" w:eastAsia="仿宋_GB2312" w:cs="Times New Roman"/>
          <w:b w:val="0"/>
          <w:spacing w:val="-4"/>
          <w:sz w:val="28"/>
          <w:szCs w:val="28"/>
          <w:lang w:val="en-US" w:eastAsia="zh-CN"/>
        </w:rPr>
        <w:t>11</w:t>
      </w:r>
      <w:r>
        <w:rPr>
          <w:rStyle w:val="17"/>
          <w:rFonts w:hint="eastAsia" w:ascii="仿宋_GB2312" w:hAnsi="楷体" w:eastAsia="仿宋_GB2312" w:cs="Times New Roman"/>
          <w:b w:val="0"/>
          <w:spacing w:val="-4"/>
          <w:sz w:val="28"/>
          <w:szCs w:val="28"/>
        </w:rPr>
        <w:t>人），与上年一致；</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实有离休人员0人（上年0人）, 与上年一致；</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实有退休人员5人（上年5人）, 与上年一致。</w:t>
      </w:r>
    </w:p>
    <w:p>
      <w:pPr>
        <w:pStyle w:val="5"/>
        <w:spacing w:line="360" w:lineRule="auto"/>
        <w:ind w:firstLine="562" w:firstLineChars="200"/>
        <w:rPr>
          <w:rStyle w:val="17"/>
          <w:rFonts w:ascii="仿宋" w:hAnsi="仿宋" w:eastAsia="仿宋"/>
          <w:b/>
          <w:bCs/>
        </w:rPr>
      </w:pPr>
      <w:bookmarkStart w:id="5" w:name="_Toc70450293"/>
      <w:r>
        <w:rPr>
          <w:rStyle w:val="17"/>
          <w:rFonts w:ascii="仿宋" w:hAnsi="仿宋" w:eastAsia="仿宋"/>
          <w:b/>
          <w:bCs/>
        </w:rPr>
        <w:t>3</w:t>
      </w:r>
      <w:r>
        <w:rPr>
          <w:rStyle w:val="17"/>
          <w:rFonts w:hint="eastAsia" w:ascii="仿宋" w:hAnsi="仿宋" w:eastAsia="仿宋"/>
          <w:b/>
          <w:bCs/>
        </w:rPr>
        <w:t>、重点工作计划</w:t>
      </w:r>
      <w:bookmarkEnd w:id="5"/>
    </w:p>
    <w:p>
      <w:pPr>
        <w:spacing w:line="360" w:lineRule="auto"/>
        <w:ind w:firstLine="544" w:firstLineChars="200"/>
        <w:rPr>
          <w:rStyle w:val="17"/>
          <w:rFonts w:ascii="仿宋_GB2312" w:hAnsi="楷体" w:eastAsia="仿宋_GB2312"/>
          <w:b w:val="0"/>
          <w:bCs w:val="0"/>
          <w:spacing w:val="-4"/>
          <w:sz w:val="28"/>
          <w:szCs w:val="28"/>
          <w:highlight w:val="none"/>
        </w:rPr>
      </w:pPr>
      <w:bookmarkStart w:id="34" w:name="_GoBack"/>
      <w:r>
        <w:rPr>
          <w:rStyle w:val="17"/>
          <w:rFonts w:hint="eastAsia" w:ascii="仿宋_GB2312" w:hAnsi="楷体" w:eastAsia="仿宋_GB2312"/>
          <w:b w:val="0"/>
          <w:bCs w:val="0"/>
          <w:spacing w:val="-4"/>
          <w:sz w:val="28"/>
          <w:szCs w:val="28"/>
          <w:highlight w:val="none"/>
        </w:rPr>
        <w:t>（1）保证单位财政供养人员基本工资、津贴补贴、艰边补助预算的收支。</w:t>
      </w:r>
    </w:p>
    <w:bookmarkEnd w:id="34"/>
    <w:p>
      <w:pPr>
        <w:spacing w:line="700" w:lineRule="exact"/>
        <w:ind w:firstLine="408" w:firstLineChars="150"/>
        <w:jc w:val="left"/>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（2）</w:t>
      </w:r>
      <w:r>
        <w:rPr>
          <w:rStyle w:val="17"/>
          <w:rFonts w:hint="eastAsia" w:ascii="仿宋_GB2312" w:hAnsi="楷体" w:eastAsia="仿宋_GB2312" w:cs="Times New Roman"/>
          <w:b w:val="0"/>
          <w:spacing w:val="-4"/>
          <w:sz w:val="28"/>
          <w:szCs w:val="28"/>
          <w:lang w:val="en-US" w:eastAsia="zh-CN"/>
        </w:rPr>
        <w:t>围绕上级供销社综合改革工作目标任务，各股室、各基层社（公司）密切配合，全力以赴，使供销社综合改革工作取得实质性进展。</w:t>
      </w:r>
    </w:p>
    <w:p>
      <w:pPr>
        <w:spacing w:line="700" w:lineRule="exact"/>
        <w:ind w:firstLine="408" w:firstLineChars="150"/>
        <w:jc w:val="left"/>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（3）</w:t>
      </w:r>
      <w:r>
        <w:rPr>
          <w:rStyle w:val="17"/>
          <w:rFonts w:hint="eastAsia" w:ascii="仿宋_GB2312" w:hAnsi="楷体" w:eastAsia="仿宋_GB2312" w:cs="Times New Roman"/>
          <w:b w:val="0"/>
          <w:spacing w:val="-4"/>
          <w:sz w:val="28"/>
          <w:szCs w:val="28"/>
          <w:lang w:val="en-US" w:eastAsia="zh-CN"/>
        </w:rPr>
        <w:t>以项目为抓手，对基层社进行升级改造。2021年，计划改造升级薄弱基层社1个，创建标杆基层社1个，新建村级基层社1个。</w:t>
      </w:r>
    </w:p>
    <w:p>
      <w:pPr>
        <w:spacing w:line="700" w:lineRule="exact"/>
        <w:ind w:firstLine="408" w:firstLineChars="150"/>
        <w:jc w:val="left"/>
        <w:rPr>
          <w:rStyle w:val="17"/>
          <w:rFonts w:hint="eastAsia" w:ascii="仿宋_GB2312" w:hAnsi="楷体" w:eastAsia="仿宋_GB2312" w:cs="Times New Roman"/>
          <w:b w:val="0"/>
          <w:spacing w:val="-4"/>
          <w:sz w:val="28"/>
          <w:szCs w:val="28"/>
          <w:lang w:val="en-US" w:eastAsia="zh-CN"/>
        </w:rPr>
      </w:pPr>
      <w:r>
        <w:rPr>
          <w:rStyle w:val="17"/>
          <w:rFonts w:hint="eastAsia" w:ascii="仿宋_GB2312" w:hAnsi="楷体" w:eastAsia="仿宋_GB2312" w:cs="Times New Roman"/>
          <w:b w:val="0"/>
          <w:spacing w:val="-4"/>
          <w:sz w:val="28"/>
          <w:szCs w:val="28"/>
          <w:lang w:val="en-US" w:eastAsia="zh-CN"/>
        </w:rPr>
        <w:t>(4)继续发展农村电子商务，加强宣传，深化与京东集团进行合作，打造具有地方特色的“网上供销社”，建设1个京东智慧示范农场，帮助农民更好地把产品销往全国各地，努力将供销社打造成一个服务农民生产生活的生力军和为农服务平台，提升供销社服务三农的功能和水平。</w:t>
      </w:r>
    </w:p>
    <w:p>
      <w:pPr>
        <w:spacing w:line="700" w:lineRule="exact"/>
        <w:ind w:firstLine="408" w:firstLineChars="150"/>
        <w:jc w:val="left"/>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lang w:val="en-US" w:eastAsia="zh-CN"/>
        </w:rPr>
        <w:t>(5)推进“三位一体”服务体系建设，扩大供销服务范围。2021年，计划新建综合服务社2个，新建农业生产服务中心1个，不断扩大供销服务范围，丰富服务内容和手段，拓展经营服务领域，进一步提升农业社会化服务层次和水平。</w:t>
      </w:r>
    </w:p>
    <w:p>
      <w:pPr>
        <w:spacing w:line="700" w:lineRule="exact"/>
        <w:ind w:firstLine="408" w:firstLineChars="150"/>
        <w:jc w:val="left"/>
        <w:rPr>
          <w:rStyle w:val="17"/>
          <w:rFonts w:hint="eastAsia" w:ascii="仿宋_GB2312" w:hAnsi="楷体" w:eastAsia="仿宋_GB2312" w:cs="Times New Roman"/>
          <w:b w:val="0"/>
          <w:spacing w:val="-4"/>
          <w:sz w:val="28"/>
          <w:szCs w:val="28"/>
          <w:lang w:val="en-US" w:eastAsia="zh-CN"/>
        </w:rPr>
      </w:pPr>
      <w:bookmarkStart w:id="6" w:name="_Toc70450294"/>
      <w:r>
        <w:rPr>
          <w:rStyle w:val="17"/>
          <w:rFonts w:hint="eastAsia" w:ascii="仿宋_GB2312" w:hAnsi="楷体" w:eastAsia="仿宋_GB2312" w:cs="Times New Roman"/>
          <w:b w:val="0"/>
          <w:spacing w:val="-4"/>
          <w:sz w:val="28"/>
          <w:szCs w:val="28"/>
          <w:lang w:val="en-US" w:eastAsia="zh-CN"/>
        </w:rPr>
        <w:t>(6)完成土地托管工作。2021年,围绕破解“谁来种”“怎么种”等问题，因地制宜的采取全托管、半托管等多种方式，以农资配送、测土配方施肥、农机作业、统防统治、加工销售、除草除虫等系列服务为切入点，大力开展以土地托管为主要内容的农业生产服务，完成土地托管面积3000亩以上。</w:t>
      </w:r>
    </w:p>
    <w:p>
      <w:pPr>
        <w:pStyle w:val="4"/>
        <w:spacing w:line="360" w:lineRule="auto"/>
        <w:rPr>
          <w:rStyle w:val="17"/>
          <w:rFonts w:ascii="仿宋" w:hAnsi="仿宋" w:eastAsia="仿宋"/>
          <w:b/>
          <w:bCs/>
          <w:sz w:val="28"/>
          <w:szCs w:val="28"/>
        </w:rPr>
      </w:pPr>
      <w:r>
        <w:rPr>
          <w:rStyle w:val="17"/>
          <w:rFonts w:hint="eastAsia" w:ascii="仿宋" w:hAnsi="仿宋" w:eastAsia="仿宋"/>
          <w:b/>
          <w:bCs/>
          <w:sz w:val="28"/>
          <w:szCs w:val="28"/>
        </w:rPr>
        <w:t>（二）部门单位整体支出规模、</w:t>
      </w:r>
      <w:bookmarkStart w:id="7" w:name="_Hlk70339807"/>
      <w:r>
        <w:rPr>
          <w:rStyle w:val="17"/>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7"/>
          <w:rFonts w:ascii="仿宋" w:hAnsi="仿宋" w:eastAsia="仿宋"/>
          <w:b/>
          <w:bCs/>
        </w:rPr>
      </w:pPr>
      <w:bookmarkStart w:id="8" w:name="_Toc70450295"/>
      <w:r>
        <w:rPr>
          <w:rStyle w:val="17"/>
          <w:rFonts w:hint="eastAsia" w:ascii="仿宋" w:hAnsi="仿宋" w:eastAsia="仿宋"/>
          <w:b/>
          <w:bCs/>
        </w:rPr>
        <w:t>1、部门单位整体支出规模</w:t>
      </w:r>
      <w:bookmarkEnd w:id="8"/>
    </w:p>
    <w:p>
      <w:pPr>
        <w:spacing w:line="360" w:lineRule="auto"/>
        <w:ind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rPr>
        <w:t>2021年批复我单位预算为173.08万元，其中：财政拨款为173.08万元，</w:t>
      </w:r>
      <w:r>
        <w:rPr>
          <w:rStyle w:val="17"/>
          <w:rFonts w:hint="eastAsia" w:ascii="仿宋_GB2312" w:hAnsi="楷体" w:eastAsia="仿宋_GB2312"/>
          <w:b w:val="0"/>
          <w:spacing w:val="-4"/>
          <w:sz w:val="28"/>
          <w:szCs w:val="28"/>
          <w:highlight w:val="none"/>
        </w:rPr>
        <w:t>年中追加资金</w:t>
      </w:r>
      <w:r>
        <w:rPr>
          <w:rStyle w:val="17"/>
          <w:rFonts w:hint="eastAsia" w:ascii="仿宋_GB2312" w:hAnsi="楷体" w:eastAsia="仿宋_GB2312"/>
          <w:b w:val="0"/>
          <w:spacing w:val="-4"/>
          <w:sz w:val="28"/>
          <w:szCs w:val="28"/>
          <w:highlight w:val="none"/>
          <w:lang w:val="en-US" w:eastAsia="zh-CN"/>
        </w:rPr>
        <w:t>10.45</w:t>
      </w:r>
      <w:r>
        <w:rPr>
          <w:rStyle w:val="17"/>
          <w:rFonts w:hint="eastAsia" w:ascii="仿宋_GB2312" w:hAnsi="楷体" w:eastAsia="仿宋_GB2312"/>
          <w:b w:val="0"/>
          <w:spacing w:val="-4"/>
          <w:sz w:val="28"/>
          <w:szCs w:val="28"/>
          <w:highlight w:val="none"/>
        </w:rPr>
        <w:t>万元</w:t>
      </w:r>
      <w:r>
        <w:rPr>
          <w:rStyle w:val="17"/>
          <w:rFonts w:hint="eastAsia" w:ascii="仿宋_GB2312" w:hAnsi="楷体" w:eastAsia="仿宋_GB2312"/>
          <w:b w:val="0"/>
          <w:spacing w:val="-4"/>
          <w:sz w:val="28"/>
          <w:szCs w:val="28"/>
          <w:highlight w:val="none"/>
          <w:lang w:eastAsia="zh-CN"/>
        </w:rPr>
        <w:t>，</w:t>
      </w:r>
      <w:r>
        <w:rPr>
          <w:rStyle w:val="17"/>
          <w:rFonts w:hint="eastAsia" w:ascii="仿宋_GB2312" w:hAnsi="楷体" w:eastAsia="仿宋_GB2312"/>
          <w:b w:val="0"/>
          <w:spacing w:val="-4"/>
          <w:sz w:val="28"/>
          <w:szCs w:val="28"/>
          <w:highlight w:val="none"/>
        </w:rPr>
        <w:t>调整率</w:t>
      </w:r>
      <w:r>
        <w:rPr>
          <w:rStyle w:val="17"/>
          <w:rFonts w:hint="eastAsia" w:ascii="仿宋_GB2312" w:hAnsi="楷体" w:eastAsia="仿宋_GB2312"/>
          <w:b w:val="0"/>
          <w:spacing w:val="-4"/>
          <w:sz w:val="28"/>
          <w:szCs w:val="28"/>
          <w:highlight w:val="none"/>
          <w:lang w:val="en-US" w:eastAsia="zh-CN"/>
        </w:rPr>
        <w:t>6.43</w:t>
      </w:r>
      <w:r>
        <w:rPr>
          <w:rStyle w:val="17"/>
          <w:rFonts w:hint="eastAsia" w:ascii="仿宋_GB2312" w:hAnsi="楷体" w:eastAsia="仿宋_GB2312"/>
          <w:b w:val="0"/>
          <w:spacing w:val="-4"/>
          <w:sz w:val="28"/>
          <w:szCs w:val="28"/>
          <w:highlight w:val="none"/>
        </w:rPr>
        <w:t>%。对比上年162.63万元</w:t>
      </w:r>
      <w:r>
        <w:rPr>
          <w:rStyle w:val="17"/>
          <w:rFonts w:hint="eastAsia" w:ascii="仿宋_GB2312" w:hAnsi="楷体" w:eastAsia="仿宋_GB2312"/>
          <w:b w:val="0"/>
          <w:spacing w:val="-4"/>
          <w:sz w:val="28"/>
          <w:szCs w:val="28"/>
          <w:highlight w:val="none"/>
          <w:lang w:eastAsia="zh-CN"/>
        </w:rPr>
        <w:t>增加</w:t>
      </w:r>
      <w:r>
        <w:rPr>
          <w:rStyle w:val="17"/>
          <w:rFonts w:hint="eastAsia" w:ascii="仿宋_GB2312" w:hAnsi="楷体" w:eastAsia="仿宋_GB2312"/>
          <w:b w:val="0"/>
          <w:spacing w:val="-4"/>
          <w:sz w:val="28"/>
          <w:szCs w:val="28"/>
          <w:highlight w:val="none"/>
          <w:lang w:val="en-US" w:eastAsia="zh-CN"/>
        </w:rPr>
        <w:t>10.45</w:t>
      </w:r>
      <w:r>
        <w:rPr>
          <w:rStyle w:val="17"/>
          <w:rFonts w:hint="eastAsia" w:ascii="仿宋_GB2312" w:hAnsi="楷体" w:eastAsia="仿宋_GB2312"/>
          <w:b w:val="0"/>
          <w:spacing w:val="-4"/>
          <w:sz w:val="28"/>
          <w:szCs w:val="28"/>
          <w:highlight w:val="none"/>
        </w:rPr>
        <w:t>万元，</w:t>
      </w:r>
      <w:r>
        <w:rPr>
          <w:rStyle w:val="17"/>
          <w:rFonts w:hint="eastAsia" w:ascii="仿宋_GB2312" w:hAnsi="楷体" w:eastAsia="仿宋_GB2312"/>
          <w:b w:val="0"/>
          <w:spacing w:val="-4"/>
          <w:sz w:val="28"/>
          <w:szCs w:val="28"/>
          <w:highlight w:val="none"/>
          <w:lang w:eastAsia="zh-CN"/>
        </w:rPr>
        <w:t>上升</w:t>
      </w:r>
      <w:r>
        <w:rPr>
          <w:rStyle w:val="17"/>
          <w:rFonts w:hint="eastAsia" w:ascii="仿宋_GB2312" w:hAnsi="楷体" w:eastAsia="仿宋_GB2312"/>
          <w:b w:val="0"/>
          <w:spacing w:val="-4"/>
          <w:sz w:val="28"/>
          <w:szCs w:val="28"/>
          <w:highlight w:val="none"/>
          <w:lang w:val="en-US" w:eastAsia="zh-CN"/>
        </w:rPr>
        <w:t>6.43</w:t>
      </w:r>
      <w:r>
        <w:rPr>
          <w:rStyle w:val="17"/>
          <w:rFonts w:hint="eastAsia" w:ascii="仿宋_GB2312" w:hAnsi="楷体" w:eastAsia="仿宋_GB2312"/>
          <w:b w:val="0"/>
          <w:spacing w:val="-4"/>
          <w:sz w:val="28"/>
          <w:szCs w:val="28"/>
          <w:highlight w:val="none"/>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2021年实际决算支出173.08万元，执行率1</w:t>
      </w:r>
      <w:r>
        <w:rPr>
          <w:rStyle w:val="17"/>
          <w:rFonts w:hint="eastAsia" w:ascii="仿宋_GB2312" w:hAnsi="楷体" w:eastAsia="仿宋_GB2312"/>
          <w:b w:val="0"/>
          <w:spacing w:val="-4"/>
          <w:sz w:val="28"/>
          <w:szCs w:val="28"/>
          <w:lang w:val="en-US" w:eastAsia="zh-CN"/>
        </w:rPr>
        <w:t>00</w:t>
      </w:r>
      <w:r>
        <w:rPr>
          <w:rStyle w:val="17"/>
          <w:rFonts w:hint="eastAsia" w:ascii="仿宋_GB2312" w:hAnsi="楷体" w:eastAsia="仿宋_GB2312"/>
          <w:b w:val="0"/>
          <w:spacing w:val="-4"/>
          <w:sz w:val="28"/>
          <w:szCs w:val="28"/>
        </w:rPr>
        <w:t>%，其中：</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基本支出173.08万元，占总支出的100％，主要用于本单位机构正常运转、完成日常工作任务而发生的各项支出。其中：工资福利支出145.87万元，主要用于在职和离退休人员基本工资、津贴补贴等人员经费。商品和服务支出17.96万元，主要用于办公费、印刷费、水电费、办公设备购置等。对个人和家庭的补助9.25万元，主要用于退休费、抚恤金和生活补助。资本性支出0万元。</w:t>
      </w:r>
      <w:r>
        <w:rPr>
          <w:rStyle w:val="17"/>
          <w:rFonts w:ascii="仿宋_GB2312" w:hAnsi="楷体" w:eastAsia="仿宋_GB2312"/>
          <w:b w:val="0"/>
          <w:spacing w:val="-4"/>
          <w:sz w:val="28"/>
          <w:szCs w:val="28"/>
        </w:rPr>
        <w:t xml:space="preserve"> </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2</w:t>
      </w:r>
      <w:r>
        <w:rPr>
          <w:rStyle w:val="17"/>
          <w:rFonts w:hint="eastAsia" w:ascii="仿宋_GB2312" w:hAnsi="楷体" w:eastAsia="仿宋_GB2312"/>
          <w:b w:val="0"/>
          <w:spacing w:val="-4"/>
          <w:sz w:val="28"/>
          <w:szCs w:val="28"/>
        </w:rPr>
        <w:t>）项目支出0万元，占总支出的0％。</w:t>
      </w:r>
    </w:p>
    <w:p>
      <w:pPr>
        <w:spacing w:line="360" w:lineRule="auto"/>
        <w:ind w:firstLine="544" w:firstLineChars="200"/>
        <w:rPr>
          <w:rStyle w:val="17"/>
          <w:rFonts w:ascii="仿宋_GB2312" w:hAnsi="楷体" w:eastAsia="仿宋_GB2312"/>
          <w:b w:val="0"/>
          <w:color w:val="FF0000"/>
          <w:spacing w:val="-4"/>
          <w:sz w:val="28"/>
          <w:szCs w:val="28"/>
        </w:rPr>
      </w:pPr>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3</w:t>
      </w:r>
      <w:r>
        <w:rPr>
          <w:rStyle w:val="17"/>
          <w:rFonts w:hint="eastAsia" w:ascii="仿宋_GB2312" w:hAnsi="楷体" w:eastAsia="仿宋_GB2312"/>
          <w:b w:val="0"/>
          <w:spacing w:val="-4"/>
          <w:sz w:val="28"/>
          <w:szCs w:val="28"/>
        </w:rPr>
        <w:t>）本年度重点项目支出0万元。</w:t>
      </w:r>
    </w:p>
    <w:p>
      <w:pPr>
        <w:spacing w:line="360" w:lineRule="auto"/>
        <w:ind w:firstLine="544" w:firstLineChars="200"/>
        <w:rPr>
          <w:rStyle w:val="17"/>
          <w:rFonts w:ascii="仿宋_GB2312" w:hAnsi="楷体" w:eastAsia="仿宋_GB2312"/>
          <w:b w:val="0"/>
          <w:spacing w:val="-4"/>
          <w:sz w:val="32"/>
          <w:szCs w:val="32"/>
        </w:rPr>
      </w:pPr>
      <w:r>
        <w:rPr>
          <w:rStyle w:val="17"/>
          <w:rFonts w:hint="eastAsia" w:ascii="仿宋_GB2312" w:hAnsi="楷体" w:eastAsia="仿宋_GB2312"/>
          <w:b w:val="0"/>
          <w:spacing w:val="-4"/>
          <w:sz w:val="28"/>
          <w:szCs w:val="28"/>
        </w:rPr>
        <w:t>（4）本年度我单位无政府采购预算</w:t>
      </w:r>
      <w:r>
        <w:rPr>
          <w:rStyle w:val="17"/>
          <w:rFonts w:hint="eastAsia" w:ascii="仿宋_GB2312" w:hAnsi="楷体" w:eastAsia="仿宋_GB2312"/>
          <w:spacing w:val="-4"/>
          <w:sz w:val="28"/>
          <w:szCs w:val="28"/>
        </w:rPr>
        <w:t>。</w:t>
      </w:r>
    </w:p>
    <w:p>
      <w:pPr>
        <w:pStyle w:val="5"/>
        <w:spacing w:line="360" w:lineRule="auto"/>
        <w:ind w:firstLine="562" w:firstLineChars="200"/>
        <w:rPr>
          <w:rStyle w:val="17"/>
          <w:rFonts w:ascii="仿宋" w:hAnsi="仿宋" w:eastAsia="仿宋"/>
          <w:b/>
          <w:bCs/>
        </w:rPr>
      </w:pPr>
      <w:bookmarkStart w:id="9" w:name="_Toc70450296"/>
      <w:r>
        <w:rPr>
          <w:rStyle w:val="17"/>
          <w:rFonts w:ascii="仿宋" w:hAnsi="仿宋" w:eastAsia="仿宋"/>
          <w:b/>
          <w:bCs/>
        </w:rPr>
        <w:t>2</w:t>
      </w:r>
      <w:r>
        <w:rPr>
          <w:rStyle w:val="17"/>
          <w:rFonts w:hint="eastAsia" w:ascii="仿宋" w:hAnsi="仿宋" w:eastAsia="仿宋"/>
          <w:b/>
          <w:bCs/>
        </w:rPr>
        <w:t>、整体支出评价使用方法和主要内容、涉及对象及范围等</w:t>
      </w:r>
      <w:bookmarkEnd w:id="9"/>
    </w:p>
    <w:p>
      <w:pPr>
        <w:spacing w:line="360" w:lineRule="auto"/>
        <w:ind w:firstLine="560" w:firstLineChars="200"/>
        <w:rPr>
          <w:rStyle w:val="17"/>
          <w:rFonts w:ascii="仿宋_GB2312" w:eastAsia="仿宋_GB2312"/>
          <w:b w:val="0"/>
          <w:bCs w:val="0"/>
          <w:sz w:val="28"/>
          <w:szCs w:val="36"/>
        </w:rPr>
      </w:pPr>
      <w:r>
        <w:rPr>
          <w:rFonts w:hint="eastAsia" w:ascii="仿宋_GB2312" w:eastAsia="仿宋_GB2312"/>
          <w:sz w:val="28"/>
          <w:szCs w:val="36"/>
        </w:rPr>
        <w:t>（1）</w:t>
      </w:r>
      <w:r>
        <w:rPr>
          <w:rStyle w:val="17"/>
          <w:rFonts w:hint="eastAsia" w:ascii="仿宋_GB2312" w:eastAsia="仿宋_GB2312"/>
          <w:b w:val="0"/>
          <w:bCs w:val="0"/>
          <w:sz w:val="28"/>
          <w:szCs w:val="36"/>
        </w:rPr>
        <w:t>整体支出评价使用方法</w:t>
      </w:r>
    </w:p>
    <w:p>
      <w:pPr>
        <w:spacing w:line="360" w:lineRule="auto"/>
        <w:ind w:firstLine="544" w:firstLineChars="200"/>
        <w:rPr>
          <w:rStyle w:val="17"/>
          <w:rFonts w:ascii="仿宋_GB2312" w:hAnsi="楷体" w:eastAsia="仿宋_GB2312"/>
          <w:b w:val="0"/>
          <w:spacing w:val="-4"/>
          <w:sz w:val="28"/>
          <w:szCs w:val="28"/>
          <w:highlight w:val="yellow"/>
        </w:rPr>
      </w:pPr>
      <w:r>
        <w:rPr>
          <w:rStyle w:val="17"/>
          <w:rFonts w:hint="eastAsia" w:ascii="仿宋_GB2312" w:hAnsi="楷体" w:eastAsia="仿宋_GB2312"/>
          <w:b w:val="0"/>
          <w:bCs w:val="0"/>
          <w:color w:val="auto"/>
          <w:spacing w:val="-4"/>
          <w:sz w:val="28"/>
          <w:szCs w:val="28"/>
        </w:rPr>
        <w:t>本次</w:t>
      </w:r>
      <w:r>
        <w:rPr>
          <w:rStyle w:val="17"/>
          <w:rFonts w:hint="eastAsia" w:ascii="仿宋_GB2312" w:hAnsi="楷体" w:eastAsia="仿宋_GB2312"/>
          <w:b w:val="0"/>
          <w:bCs w:val="0"/>
          <w:color w:val="auto"/>
          <w:spacing w:val="-4"/>
          <w:sz w:val="28"/>
          <w:szCs w:val="28"/>
          <w:lang w:val="en-US" w:eastAsia="zh-CN"/>
        </w:rPr>
        <w:t>单位</w:t>
      </w:r>
      <w:r>
        <w:rPr>
          <w:rStyle w:val="17"/>
          <w:rFonts w:hint="eastAsia" w:ascii="仿宋_GB2312" w:hAnsi="楷体" w:eastAsia="仿宋_GB2312"/>
          <w:b w:val="0"/>
          <w:bCs w:val="0"/>
          <w:color w:val="auto"/>
          <w:spacing w:val="-4"/>
          <w:sz w:val="28"/>
          <w:szCs w:val="28"/>
        </w:rPr>
        <w:t>整体支出绩效自评采用</w:t>
      </w:r>
      <w:r>
        <w:rPr>
          <w:rStyle w:val="17"/>
          <w:rFonts w:hint="eastAsia" w:ascii="仿宋_GB2312" w:hAnsi="楷体" w:eastAsia="仿宋_GB2312"/>
          <w:b w:val="0"/>
          <w:bCs w:val="0"/>
          <w:color w:val="auto"/>
          <w:spacing w:val="-4"/>
          <w:sz w:val="28"/>
          <w:szCs w:val="28"/>
          <w:lang w:val="en-US" w:eastAsia="zh-CN"/>
        </w:rPr>
        <w:t>因素分析</w:t>
      </w:r>
      <w:r>
        <w:rPr>
          <w:rStyle w:val="17"/>
          <w:rFonts w:hint="eastAsia" w:ascii="仿宋_GB2312" w:hAnsi="楷体" w:eastAsia="仿宋_GB2312"/>
          <w:b w:val="0"/>
          <w:bCs w:val="0"/>
          <w:color w:val="auto"/>
          <w:spacing w:val="-4"/>
          <w:sz w:val="28"/>
          <w:szCs w:val="28"/>
        </w:rPr>
        <w:t>方法，原因是：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7"/>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（3）整体支出评价涉及对象及范围</w:t>
      </w:r>
    </w:p>
    <w:p>
      <w:pPr>
        <w:spacing w:line="700" w:lineRule="exact"/>
        <w:ind w:firstLine="560" w:firstLineChars="200"/>
        <w:jc w:val="left"/>
        <w:rPr>
          <w:rStyle w:val="17"/>
          <w:rFonts w:ascii="仿宋_GB2312" w:eastAsia="仿宋_GB2312"/>
          <w:b w:val="0"/>
          <w:bCs w:val="0"/>
          <w:sz w:val="28"/>
          <w:szCs w:val="36"/>
        </w:rPr>
      </w:pPr>
      <w:r>
        <w:rPr>
          <w:rStyle w:val="17"/>
          <w:rFonts w:hint="eastAsia" w:ascii="仿宋_GB2312" w:eastAsia="仿宋_GB2312"/>
          <w:b w:val="0"/>
          <w:bCs w:val="0"/>
          <w:sz w:val="28"/>
          <w:szCs w:val="36"/>
        </w:rPr>
        <w:t>涉及对象：本次评价对象是特克斯县供销合作社联合社</w:t>
      </w:r>
      <w:r>
        <w:rPr>
          <w:rFonts w:hint="eastAsia" w:ascii="仿宋_GB2312" w:eastAsia="仿宋_GB2312"/>
          <w:sz w:val="28"/>
          <w:szCs w:val="36"/>
        </w:rPr>
        <w:t>所有财政资金支出活动。</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整体支出评价范围：</w:t>
      </w:r>
    </w:p>
    <w:p>
      <w:pPr>
        <w:spacing w:line="360" w:lineRule="auto"/>
        <w:ind w:firstLine="544" w:firstLineChars="200"/>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fldChar w:fldCharType="begin"/>
      </w:r>
      <w:r>
        <w:rPr>
          <w:rStyle w:val="17"/>
          <w:rFonts w:ascii="仿宋_GB2312" w:hAnsi="楷体" w:eastAsia="仿宋_GB2312"/>
          <w:b w:val="0"/>
          <w:spacing w:val="-4"/>
          <w:sz w:val="28"/>
          <w:szCs w:val="28"/>
        </w:rPr>
        <w:instrText xml:space="preserve"> </w:instrText>
      </w:r>
      <w:r>
        <w:rPr>
          <w:rStyle w:val="17"/>
          <w:rFonts w:hint="eastAsia" w:ascii="仿宋_GB2312" w:hAnsi="楷体" w:eastAsia="仿宋_GB2312"/>
          <w:b w:val="0"/>
          <w:spacing w:val="-4"/>
          <w:sz w:val="28"/>
          <w:szCs w:val="28"/>
        </w:rPr>
        <w:instrText xml:space="preserve">= 1 \* GB3</w:instrText>
      </w:r>
      <w:r>
        <w:rPr>
          <w:rStyle w:val="17"/>
          <w:rFonts w:ascii="仿宋_GB2312" w:hAnsi="楷体" w:eastAsia="仿宋_GB2312"/>
          <w:b w:val="0"/>
          <w:spacing w:val="-4"/>
          <w:sz w:val="28"/>
          <w:szCs w:val="28"/>
        </w:rPr>
        <w:instrText xml:space="preserve"> </w:instrText>
      </w:r>
      <w:r>
        <w:rPr>
          <w:rStyle w:val="17"/>
          <w:rFonts w:ascii="仿宋_GB2312" w:hAnsi="楷体" w:eastAsia="仿宋_GB2312"/>
          <w:b w:val="0"/>
          <w:spacing w:val="-4"/>
          <w:sz w:val="28"/>
          <w:szCs w:val="28"/>
        </w:rPr>
        <w:fldChar w:fldCharType="separate"/>
      </w:r>
      <w:r>
        <w:rPr>
          <w:rStyle w:val="17"/>
          <w:rFonts w:hint="eastAsia" w:ascii="仿宋_GB2312" w:hAnsi="楷体" w:eastAsia="仿宋_GB2312"/>
          <w:b w:val="0"/>
          <w:spacing w:val="-4"/>
          <w:sz w:val="28"/>
          <w:szCs w:val="28"/>
        </w:rPr>
        <w:t>①</w:t>
      </w:r>
      <w:r>
        <w:rPr>
          <w:rStyle w:val="17"/>
          <w:rFonts w:ascii="仿宋_GB2312" w:hAnsi="楷体" w:eastAsia="仿宋_GB2312"/>
          <w:b w:val="0"/>
          <w:spacing w:val="-4"/>
          <w:sz w:val="28"/>
          <w:szCs w:val="28"/>
        </w:rPr>
        <w:fldChar w:fldCharType="end"/>
      </w:r>
      <w:r>
        <w:rPr>
          <w:rStyle w:val="17"/>
          <w:rFonts w:hint="eastAsia" w:ascii="仿宋_GB2312" w:hAnsi="楷体" w:eastAsia="仿宋_GB2312"/>
          <w:b w:val="0"/>
          <w:spacing w:val="-4"/>
          <w:sz w:val="28"/>
          <w:szCs w:val="28"/>
        </w:rPr>
        <w:t>基本支出122.64万元，其中：工资福利支出、商品和服务支出、对个人和家庭的补助支出。</w:t>
      </w:r>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fldChar w:fldCharType="begin"/>
      </w:r>
      <w:r>
        <w:rPr>
          <w:rStyle w:val="17"/>
          <w:rFonts w:ascii="仿宋_GB2312" w:hAnsi="楷体" w:eastAsia="仿宋_GB2312"/>
          <w:b w:val="0"/>
          <w:spacing w:val="-4"/>
          <w:sz w:val="28"/>
          <w:szCs w:val="28"/>
        </w:rPr>
        <w:instrText xml:space="preserve"> </w:instrText>
      </w:r>
      <w:r>
        <w:rPr>
          <w:rStyle w:val="17"/>
          <w:rFonts w:hint="eastAsia" w:ascii="仿宋_GB2312" w:hAnsi="楷体" w:eastAsia="仿宋_GB2312"/>
          <w:b w:val="0"/>
          <w:spacing w:val="-4"/>
          <w:sz w:val="28"/>
          <w:szCs w:val="28"/>
        </w:rPr>
        <w:instrText xml:space="preserve">= 2 \* GB3</w:instrText>
      </w:r>
      <w:r>
        <w:rPr>
          <w:rStyle w:val="17"/>
          <w:rFonts w:ascii="仿宋_GB2312" w:hAnsi="楷体" w:eastAsia="仿宋_GB2312"/>
          <w:b w:val="0"/>
          <w:spacing w:val="-4"/>
          <w:sz w:val="28"/>
          <w:szCs w:val="28"/>
        </w:rPr>
        <w:instrText xml:space="preserve"> </w:instrText>
      </w:r>
      <w:r>
        <w:rPr>
          <w:rStyle w:val="17"/>
          <w:rFonts w:ascii="仿宋_GB2312" w:hAnsi="楷体" w:eastAsia="仿宋_GB2312"/>
          <w:b w:val="0"/>
          <w:spacing w:val="-4"/>
          <w:sz w:val="28"/>
          <w:szCs w:val="28"/>
        </w:rPr>
        <w:fldChar w:fldCharType="separate"/>
      </w:r>
      <w:r>
        <w:rPr>
          <w:rStyle w:val="17"/>
          <w:rFonts w:hint="eastAsia" w:ascii="仿宋_GB2312" w:hAnsi="楷体" w:eastAsia="仿宋_GB2312"/>
          <w:b w:val="0"/>
          <w:spacing w:val="-4"/>
          <w:sz w:val="28"/>
          <w:szCs w:val="28"/>
        </w:rPr>
        <w:t>②</w:t>
      </w:r>
      <w:r>
        <w:rPr>
          <w:rStyle w:val="17"/>
          <w:rFonts w:ascii="仿宋_GB2312" w:hAnsi="楷体" w:eastAsia="仿宋_GB2312"/>
          <w:b w:val="0"/>
          <w:spacing w:val="-4"/>
          <w:sz w:val="28"/>
          <w:szCs w:val="28"/>
        </w:rPr>
        <w:fldChar w:fldCharType="end"/>
      </w:r>
      <w:r>
        <w:rPr>
          <w:rStyle w:val="17"/>
          <w:rFonts w:hint="eastAsia" w:ascii="仿宋_GB2312" w:hAnsi="楷体" w:eastAsia="仿宋_GB2312"/>
          <w:b w:val="0"/>
          <w:spacing w:val="-4"/>
          <w:sz w:val="28"/>
          <w:szCs w:val="28"/>
        </w:rPr>
        <w:t>项目支出0万元。</w:t>
      </w:r>
    </w:p>
    <w:p>
      <w:pPr>
        <w:spacing w:line="360" w:lineRule="auto"/>
        <w:ind w:firstLine="544" w:firstLineChars="200"/>
        <w:rPr>
          <w:rStyle w:val="17"/>
          <w:rFonts w:ascii="仿宋_GB2312" w:hAnsi="楷体" w:eastAsia="仿宋_GB2312"/>
          <w:b w:val="0"/>
          <w:spacing w:val="-4"/>
          <w:sz w:val="28"/>
          <w:szCs w:val="28"/>
        </w:rPr>
      </w:pPr>
    </w:p>
    <w:p>
      <w:pPr>
        <w:pStyle w:val="2"/>
        <w:spacing w:line="360" w:lineRule="auto"/>
        <w:rPr>
          <w:rFonts w:ascii="仿宋" w:hAnsi="仿宋" w:eastAsia="仿宋"/>
          <w:sz w:val="36"/>
          <w:szCs w:val="36"/>
        </w:rPr>
      </w:pPr>
      <w:bookmarkStart w:id="10" w:name="_Toc70450297"/>
      <w:r>
        <w:rPr>
          <w:rFonts w:hint="eastAsia" w:ascii="仿宋" w:hAnsi="仿宋" w:eastAsia="仿宋"/>
          <w:sz w:val="36"/>
          <w:szCs w:val="36"/>
        </w:rPr>
        <w:t>二、部门单位整体支出管理及使用情况</w:t>
      </w:r>
      <w:bookmarkEnd w:id="10"/>
    </w:p>
    <w:p>
      <w:pPr>
        <w:pStyle w:val="4"/>
        <w:spacing w:line="360" w:lineRule="auto"/>
        <w:rPr>
          <w:rStyle w:val="17"/>
          <w:rFonts w:ascii="仿宋" w:hAnsi="仿宋" w:eastAsia="仿宋"/>
          <w:b/>
          <w:bCs/>
        </w:rPr>
      </w:pPr>
      <w:bookmarkStart w:id="11" w:name="_Toc70450298"/>
      <w:r>
        <w:rPr>
          <w:rStyle w:val="17"/>
          <w:rFonts w:hint="eastAsia" w:ascii="仿宋" w:hAnsi="仿宋" w:eastAsia="仿宋"/>
          <w:b/>
          <w:bCs/>
        </w:rPr>
        <w:t>（一）预算管理</w:t>
      </w:r>
      <w:bookmarkEnd w:id="11"/>
    </w:p>
    <w:p>
      <w:pPr>
        <w:pStyle w:val="5"/>
        <w:spacing w:line="360" w:lineRule="auto"/>
        <w:ind w:firstLine="562" w:firstLineChars="200"/>
        <w:rPr>
          <w:rStyle w:val="17"/>
          <w:rFonts w:ascii="仿宋" w:hAnsi="仿宋" w:eastAsia="仿宋"/>
          <w:b/>
          <w:bCs/>
        </w:rPr>
      </w:pPr>
      <w:bookmarkStart w:id="12" w:name="_Toc70450299"/>
      <w:r>
        <w:rPr>
          <w:rStyle w:val="17"/>
          <w:rFonts w:ascii="仿宋" w:hAnsi="仿宋" w:eastAsia="仿宋"/>
          <w:b/>
          <w:bCs/>
        </w:rPr>
        <w:t>1</w:t>
      </w:r>
      <w:r>
        <w:rPr>
          <w:rStyle w:val="17"/>
          <w:rFonts w:hint="eastAsia" w:ascii="仿宋" w:hAnsi="仿宋" w:eastAsia="仿宋"/>
          <w:b/>
          <w:bCs/>
        </w:rPr>
        <w:t>、预算编制管理</w:t>
      </w:r>
      <w:bookmarkEnd w:id="12"/>
    </w:p>
    <w:p>
      <w:pPr>
        <w:spacing w:line="360" w:lineRule="auto"/>
        <w:ind w:firstLine="506" w:firstLineChars="181"/>
        <w:rPr>
          <w:rFonts w:ascii="仿宋_GB2312" w:eastAsia="仿宋_GB2312"/>
          <w:b/>
          <w:bCs/>
          <w:szCs w:val="36"/>
        </w:rPr>
      </w:pPr>
      <w:r>
        <w:rPr>
          <w:rFonts w:hint="eastAsia" w:ascii="仿宋_GB2312" w:eastAsia="仿宋_GB2312"/>
          <w:sz w:val="28"/>
          <w:szCs w:val="36"/>
        </w:rPr>
        <w:t>我</w:t>
      </w:r>
      <w:r>
        <w:rPr>
          <w:rStyle w:val="17"/>
          <w:rFonts w:hint="eastAsia" w:ascii="仿宋_GB2312" w:hAnsi="楷体" w:eastAsia="仿宋_GB2312"/>
          <w:b w:val="0"/>
          <w:spacing w:val="-4"/>
          <w:sz w:val="28"/>
          <w:szCs w:val="28"/>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严格按照财政部门预算编制与预算调整的工作要求，在预算编制、分配依据充分的条件下，切实做好“先定目标再编预算”，确保预算分配结果合理。同时按照特克斯县财政局要求，部门预算及绩效目标在</w:t>
      </w:r>
      <w:r>
        <w:rPr>
          <w:rFonts w:ascii="仿宋_GB2312" w:eastAsia="仿宋_GB2312"/>
          <w:sz w:val="28"/>
          <w:szCs w:val="36"/>
        </w:rPr>
        <w:t>特克斯县</w:t>
      </w:r>
      <w:r>
        <w:rPr>
          <w:rFonts w:hint="eastAsia" w:ascii="仿宋_GB2312" w:eastAsia="仿宋_GB2312"/>
          <w:sz w:val="28"/>
          <w:szCs w:val="36"/>
        </w:rPr>
        <w:t>人民政府门户网站公开，</w:t>
      </w:r>
      <w:r>
        <w:rPr>
          <w:rFonts w:ascii="仿宋_GB2312" w:eastAsia="仿宋_GB2312"/>
          <w:sz w:val="28"/>
          <w:szCs w:val="36"/>
        </w:rPr>
        <w:t>广泛接受社会监督</w:t>
      </w:r>
      <w:r>
        <w:rPr>
          <w:rFonts w:hint="eastAsia" w:ascii="仿宋_GB2312" w:eastAsia="仿宋_GB2312"/>
          <w:sz w:val="28"/>
          <w:szCs w:val="36"/>
        </w:rPr>
        <w:t>。</w:t>
      </w:r>
    </w:p>
    <w:p>
      <w:pPr>
        <w:pStyle w:val="5"/>
        <w:spacing w:line="360" w:lineRule="auto"/>
        <w:ind w:firstLine="562" w:firstLineChars="200"/>
        <w:rPr>
          <w:rStyle w:val="17"/>
          <w:rFonts w:ascii="仿宋" w:hAnsi="仿宋" w:eastAsia="仿宋"/>
          <w:b/>
          <w:bCs/>
        </w:rPr>
      </w:pPr>
      <w:bookmarkStart w:id="13" w:name="_Toc70450300"/>
      <w:r>
        <w:rPr>
          <w:rStyle w:val="17"/>
          <w:rFonts w:hint="eastAsia" w:ascii="仿宋" w:hAnsi="仿宋" w:eastAsia="仿宋"/>
          <w:b/>
          <w:bCs/>
        </w:rPr>
        <w:t>2</w:t>
      </w:r>
      <w:r>
        <w:rPr>
          <w:rStyle w:val="17"/>
          <w:rFonts w:ascii="仿宋" w:hAnsi="仿宋" w:eastAsia="仿宋"/>
          <w:b/>
          <w:bCs/>
        </w:rPr>
        <w:t>、预算</w:t>
      </w:r>
      <w:r>
        <w:rPr>
          <w:rStyle w:val="17"/>
          <w:rFonts w:hint="eastAsia" w:ascii="仿宋" w:hAnsi="仿宋" w:eastAsia="仿宋"/>
          <w:b/>
          <w:bCs/>
        </w:rPr>
        <w:t>支出</w:t>
      </w:r>
      <w:r>
        <w:rPr>
          <w:rStyle w:val="17"/>
          <w:rFonts w:ascii="仿宋" w:hAnsi="仿宋" w:eastAsia="仿宋"/>
          <w:b/>
          <w:bCs/>
        </w:rPr>
        <w:t>管理</w:t>
      </w:r>
      <w:bookmarkEnd w:id="13"/>
    </w:p>
    <w:p>
      <w:pPr>
        <w:spacing w:line="360" w:lineRule="auto"/>
        <w:ind w:firstLine="560" w:firstLineChars="200"/>
        <w:rPr>
          <w:rFonts w:ascii="仿宋_GB2312" w:eastAsia="仿宋_GB2312"/>
          <w:sz w:val="28"/>
          <w:szCs w:val="36"/>
        </w:rPr>
      </w:pPr>
      <w:r>
        <w:rPr>
          <w:rFonts w:hint="eastAsia" w:ascii="仿宋_GB2312" w:eastAsia="仿宋_GB2312"/>
          <w:sz w:val="28"/>
          <w:szCs w:val="36"/>
        </w:rPr>
        <w:t>我</w:t>
      </w:r>
      <w:r>
        <w:rPr>
          <w:rStyle w:val="17"/>
          <w:rFonts w:hint="eastAsia" w:ascii="仿宋_GB2312" w:hAnsi="楷体" w:eastAsia="仿宋_GB2312"/>
          <w:b w:val="0"/>
          <w:spacing w:val="-4"/>
          <w:sz w:val="28"/>
          <w:szCs w:val="28"/>
        </w:rPr>
        <w:t>单位</w:t>
      </w:r>
      <w:r>
        <w:rPr>
          <w:rFonts w:hint="eastAsia" w:ascii="仿宋_GB2312" w:eastAsia="仿宋_GB2312"/>
          <w:sz w:val="28"/>
          <w:szCs w:val="36"/>
        </w:rPr>
        <w:t>按照财政要求基本支出分月度申报资金使用计划，由财政部门按照进度每月按期拨付，人员支出按照工资计划发放工资；依照特克斯县供销合作社联合社《</w:t>
      </w:r>
      <w:r>
        <w:rPr>
          <w:rFonts w:ascii="仿宋_GB2312" w:eastAsia="仿宋_GB2312"/>
          <w:sz w:val="28"/>
          <w:szCs w:val="36"/>
        </w:rPr>
        <w:t>预算</w:t>
      </w:r>
      <w:r>
        <w:rPr>
          <w:rFonts w:hint="eastAsia" w:ascii="仿宋_GB2312" w:eastAsia="仿宋_GB2312"/>
          <w:sz w:val="28"/>
          <w:szCs w:val="36"/>
        </w:rPr>
        <w:t>支出</w:t>
      </w:r>
      <w:r>
        <w:rPr>
          <w:rFonts w:ascii="仿宋_GB2312" w:eastAsia="仿宋_GB2312"/>
          <w:sz w:val="28"/>
          <w:szCs w:val="36"/>
        </w:rPr>
        <w:t>管理</w:t>
      </w:r>
      <w:r>
        <w:rPr>
          <w:rFonts w:hint="eastAsia" w:ascii="仿宋_GB2312" w:eastAsia="仿宋_GB2312"/>
          <w:sz w:val="28"/>
          <w:szCs w:val="36"/>
        </w:rPr>
        <w:t>》相关规定和特克斯县供销合</w:t>
      </w:r>
      <w:r>
        <w:rPr>
          <w:rFonts w:hint="eastAsia" w:ascii="仿宋_GB2312" w:eastAsia="仿宋_GB2312"/>
          <w:sz w:val="28"/>
          <w:szCs w:val="36"/>
          <w:highlight w:val="none"/>
        </w:rPr>
        <w:t>作社联合社《</w:t>
      </w:r>
      <w:r>
        <w:rPr>
          <w:rFonts w:hint="eastAsia" w:ascii="仿宋_GB2312" w:eastAsia="仿宋_GB2312"/>
          <w:color w:val="auto"/>
          <w:sz w:val="28"/>
          <w:szCs w:val="36"/>
          <w:highlight w:val="none"/>
          <w:lang w:val="en-US" w:eastAsia="zh-CN"/>
        </w:rPr>
        <w:t>预算法</w:t>
      </w:r>
      <w:r>
        <w:rPr>
          <w:rFonts w:hint="eastAsia" w:ascii="仿宋_GB2312" w:eastAsia="仿宋_GB2312"/>
          <w:sz w:val="28"/>
          <w:szCs w:val="36"/>
          <w:highlight w:val="none"/>
        </w:rPr>
        <w:t>》规定流程，资金支出按照我内</w:t>
      </w:r>
      <w:r>
        <w:rPr>
          <w:rFonts w:hint="eastAsia" w:ascii="仿宋_GB2312" w:eastAsia="仿宋_GB2312"/>
          <w:sz w:val="28"/>
          <w:szCs w:val="36"/>
        </w:rPr>
        <w:t>控体系中设定的流程申报审批进行；项目支出属于政府采购的，按照</w:t>
      </w:r>
      <w:r>
        <w:rPr>
          <w:rFonts w:ascii="仿宋_GB2312" w:eastAsia="仿宋_GB2312"/>
          <w:sz w:val="28"/>
          <w:szCs w:val="36"/>
        </w:rPr>
        <w:t>预算</w:t>
      </w:r>
      <w:r>
        <w:rPr>
          <w:rFonts w:hint="eastAsia" w:ascii="仿宋_GB2312" w:eastAsia="仿宋_GB2312"/>
          <w:sz w:val="28"/>
          <w:szCs w:val="36"/>
        </w:rPr>
        <w:t>支出</w:t>
      </w:r>
      <w:r>
        <w:rPr>
          <w:rFonts w:ascii="仿宋_GB2312" w:eastAsia="仿宋_GB2312"/>
          <w:sz w:val="28"/>
          <w:szCs w:val="36"/>
        </w:rPr>
        <w:t>管理</w:t>
      </w:r>
      <w:r>
        <w:rPr>
          <w:rFonts w:hint="eastAsia" w:ascii="仿宋_GB2312" w:eastAsia="仿宋_GB2312"/>
          <w:sz w:val="28"/>
          <w:szCs w:val="36"/>
        </w:rPr>
        <w:t>《特克斯县供销社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7"/>
          <w:b/>
          <w:bCs/>
          <w:sz w:val="28"/>
          <w:szCs w:val="28"/>
        </w:rPr>
      </w:pPr>
      <w:bookmarkStart w:id="14" w:name="_Toc70450301"/>
      <w:r>
        <w:rPr>
          <w:rStyle w:val="17"/>
          <w:rFonts w:hint="eastAsia"/>
          <w:b/>
          <w:bCs/>
          <w:sz w:val="28"/>
          <w:szCs w:val="28"/>
        </w:rPr>
        <w:t>（二）基本支出管理及使用情况</w:t>
      </w:r>
      <w:bookmarkEnd w:id="14"/>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2021年基本支出预算安排173.08万元，实际到位173.08元,实际支出173.08万元，占总支出的100％，其中：</w:t>
      </w:r>
      <w:r>
        <w:rPr>
          <w:rStyle w:val="17"/>
          <w:rFonts w:hint="eastAsia" w:ascii="仿宋_GB2312" w:hAnsi="楷体" w:eastAsia="仿宋_GB2312"/>
          <w:b w:val="0"/>
          <w:spacing w:val="-4"/>
          <w:sz w:val="28"/>
          <w:szCs w:val="28"/>
          <w:highlight w:val="none"/>
        </w:rPr>
        <w:t>工资福利支出145.87万元、商品和服务支出17.96万元、对个人和家庭的补助9.25万元、主</w:t>
      </w:r>
      <w:r>
        <w:rPr>
          <w:rStyle w:val="17"/>
          <w:rFonts w:hint="eastAsia" w:ascii="仿宋_GB2312" w:hAnsi="楷体" w:eastAsia="仿宋_GB2312"/>
          <w:b w:val="0"/>
          <w:spacing w:val="-4"/>
          <w:sz w:val="28"/>
          <w:szCs w:val="28"/>
        </w:rPr>
        <w:t>要用于退休费、抚恤金和生活补助。资本性支出0万元。</w:t>
      </w:r>
    </w:p>
    <w:p>
      <w:pPr>
        <w:spacing w:line="360" w:lineRule="auto"/>
        <w:ind w:firstLine="492" w:firstLineChars="181"/>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2021年基本支出比上年162.63万元,</w:t>
      </w:r>
      <w:r>
        <w:rPr>
          <w:rStyle w:val="17"/>
          <w:rFonts w:hint="eastAsia" w:ascii="仿宋_GB2312" w:hAnsi="楷体" w:eastAsia="仿宋_GB2312"/>
          <w:b w:val="0"/>
          <w:spacing w:val="-4"/>
          <w:sz w:val="28"/>
          <w:szCs w:val="28"/>
          <w:highlight w:val="none"/>
          <w:lang w:val="en-US" w:eastAsia="zh-CN"/>
        </w:rPr>
        <w:t>增加10.45</w:t>
      </w:r>
      <w:r>
        <w:rPr>
          <w:rStyle w:val="17"/>
          <w:rFonts w:hint="eastAsia" w:ascii="仿宋_GB2312" w:hAnsi="楷体" w:eastAsia="仿宋_GB2312"/>
          <w:b w:val="0"/>
          <w:spacing w:val="-4"/>
          <w:sz w:val="28"/>
          <w:szCs w:val="28"/>
          <w:highlight w:val="none"/>
        </w:rPr>
        <w:t>万元，</w:t>
      </w:r>
      <w:r>
        <w:rPr>
          <w:rStyle w:val="17"/>
          <w:rFonts w:hint="eastAsia" w:ascii="仿宋_GB2312" w:hAnsi="楷体" w:eastAsia="仿宋_GB2312"/>
          <w:b w:val="0"/>
          <w:spacing w:val="-4"/>
          <w:sz w:val="28"/>
          <w:szCs w:val="28"/>
          <w:highlight w:val="none"/>
          <w:lang w:val="en-US" w:eastAsia="zh-CN"/>
        </w:rPr>
        <w:t>上升6.43</w:t>
      </w:r>
      <w:r>
        <w:rPr>
          <w:rStyle w:val="17"/>
          <w:rFonts w:ascii="仿宋_GB2312" w:hAnsi="宋体" w:eastAsia="仿宋_GB2312"/>
          <w:b w:val="0"/>
          <w:bCs w:val="0"/>
          <w:spacing w:val="-4"/>
          <w:sz w:val="28"/>
          <w:szCs w:val="28"/>
          <w:highlight w:val="none"/>
        </w:rPr>
        <w:t>%</w:t>
      </w:r>
      <w:r>
        <w:rPr>
          <w:rStyle w:val="17"/>
          <w:rFonts w:hint="eastAsia" w:ascii="仿宋_GB2312" w:hAnsi="楷体" w:eastAsia="仿宋_GB2312"/>
          <w:b w:val="0"/>
          <w:spacing w:val="-4"/>
          <w:sz w:val="28"/>
          <w:szCs w:val="28"/>
          <w:highlight w:val="none"/>
        </w:rPr>
        <w:t>，支出</w:t>
      </w:r>
      <w:r>
        <w:rPr>
          <w:rStyle w:val="17"/>
          <w:rFonts w:hint="eastAsia" w:ascii="仿宋_GB2312" w:hAnsi="楷体" w:eastAsia="仿宋_GB2312"/>
          <w:b w:val="0"/>
          <w:spacing w:val="-4"/>
          <w:sz w:val="28"/>
          <w:szCs w:val="28"/>
          <w:highlight w:val="none"/>
          <w:lang w:eastAsia="zh-CN"/>
        </w:rPr>
        <w:t>增加</w:t>
      </w:r>
      <w:r>
        <w:rPr>
          <w:rStyle w:val="17"/>
          <w:rFonts w:hint="eastAsia" w:ascii="仿宋_GB2312" w:hAnsi="楷体" w:eastAsia="仿宋_GB2312"/>
          <w:b w:val="0"/>
          <w:spacing w:val="-4"/>
          <w:sz w:val="28"/>
          <w:szCs w:val="28"/>
          <w:highlight w:val="none"/>
        </w:rPr>
        <w:t>的主要原因是</w:t>
      </w:r>
      <w:r>
        <w:rPr>
          <w:rStyle w:val="17"/>
          <w:rFonts w:hint="eastAsia" w:ascii="仿宋_GB2312" w:hAnsi="楷体" w:eastAsia="仿宋_GB2312"/>
          <w:b w:val="0"/>
          <w:spacing w:val="-4"/>
          <w:sz w:val="28"/>
          <w:szCs w:val="28"/>
          <w:highlight w:val="none"/>
          <w:lang w:eastAsia="zh-CN"/>
        </w:rPr>
        <w:t>增加</w:t>
      </w:r>
      <w:r>
        <w:rPr>
          <w:rStyle w:val="17"/>
          <w:rFonts w:hint="eastAsia" w:ascii="仿宋_GB2312" w:hAnsi="楷体" w:eastAsia="仿宋_GB2312"/>
          <w:b w:val="0"/>
          <w:spacing w:val="-4"/>
          <w:sz w:val="28"/>
          <w:szCs w:val="28"/>
          <w:highlight w:val="none"/>
        </w:rPr>
        <w:t>了</w:t>
      </w:r>
      <w:r>
        <w:rPr>
          <w:rStyle w:val="17"/>
          <w:rFonts w:ascii="仿宋_GB2312" w:hAnsi="楷体" w:eastAsia="仿宋_GB2312"/>
          <w:b w:val="0"/>
          <w:spacing w:val="-4"/>
          <w:sz w:val="28"/>
          <w:szCs w:val="28"/>
          <w:highlight w:val="none"/>
        </w:rPr>
        <w:t>其它商品和服务</w:t>
      </w:r>
      <w:r>
        <w:rPr>
          <w:rStyle w:val="17"/>
          <w:rFonts w:hint="eastAsia" w:ascii="仿宋_GB2312" w:hAnsi="楷体" w:eastAsia="仿宋_GB2312"/>
          <w:b w:val="0"/>
          <w:spacing w:val="-4"/>
          <w:sz w:val="28"/>
          <w:szCs w:val="28"/>
          <w:highlight w:val="none"/>
        </w:rPr>
        <w:t>支出。</w:t>
      </w:r>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年一般公共预算“三公”经费数为0.8万元，其中：因公出国（境）费0万元，公务用车购置0万元，公务用车运行费0.8万元，公务接待费0万元。</w:t>
      </w:r>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一般公共预算“三公”经费比上年增加0万元，其中：因公出国（境）费增加0万元，主要原因是：未安排预算；公务用车购置费为0，未安排预算。公务用车运行费增加0万元，主要原因是：与上年持平；公务接待费增加0万元，主要原因是：未安排预算。</w:t>
      </w:r>
    </w:p>
    <w:p>
      <w:pPr>
        <w:pStyle w:val="4"/>
        <w:spacing w:line="360" w:lineRule="auto"/>
        <w:rPr>
          <w:rStyle w:val="17"/>
          <w:rFonts w:ascii="仿宋" w:hAnsi="仿宋" w:eastAsia="仿宋"/>
          <w:b/>
          <w:bCs/>
        </w:rPr>
      </w:pPr>
      <w:bookmarkStart w:id="15" w:name="_Toc70450302"/>
      <w:r>
        <w:rPr>
          <w:rStyle w:val="17"/>
          <w:rFonts w:hint="eastAsia" w:ascii="仿宋" w:hAnsi="仿宋" w:eastAsia="仿宋"/>
          <w:b/>
          <w:bCs/>
        </w:rPr>
        <w:t>（三）专项支出管理及使用情况</w:t>
      </w:r>
      <w:bookmarkEnd w:id="15"/>
    </w:p>
    <w:p>
      <w:pPr>
        <w:pStyle w:val="5"/>
        <w:spacing w:line="360" w:lineRule="auto"/>
        <w:ind w:firstLine="562" w:firstLineChars="200"/>
        <w:rPr>
          <w:rStyle w:val="17"/>
          <w:rFonts w:ascii="仿宋" w:hAnsi="仿宋" w:eastAsia="仿宋"/>
          <w:b/>
          <w:bCs/>
        </w:rPr>
      </w:pPr>
      <w:bookmarkStart w:id="16" w:name="_Toc70450303"/>
      <w:r>
        <w:rPr>
          <w:rStyle w:val="17"/>
          <w:rFonts w:hint="eastAsia" w:ascii="仿宋" w:hAnsi="仿宋" w:eastAsia="仿宋"/>
          <w:b/>
          <w:bCs/>
        </w:rPr>
        <w:t>1、专项资金安排落实、总投入等情况分析</w:t>
      </w:r>
      <w:bookmarkEnd w:id="16"/>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年预算安排专项资金0万元，实际到位0万元,</w:t>
      </w:r>
      <w:r>
        <w:rPr>
          <w:rFonts w:hint="eastAsia"/>
        </w:rPr>
        <w:t xml:space="preserve"> </w:t>
      </w:r>
      <w:r>
        <w:rPr>
          <w:rStyle w:val="17"/>
          <w:rFonts w:hint="eastAsia" w:ascii="仿宋_GB2312" w:hAnsi="楷体" w:eastAsia="仿宋_GB2312"/>
          <w:b w:val="0"/>
          <w:spacing w:val="-4"/>
          <w:sz w:val="28"/>
          <w:szCs w:val="28"/>
        </w:rPr>
        <w:t>到位率0％,其中:中央转移支付项目资金0万元，自治区资金0万元，本级安排0万元。</w:t>
      </w:r>
    </w:p>
    <w:p>
      <w:pPr>
        <w:pStyle w:val="5"/>
        <w:spacing w:line="360" w:lineRule="auto"/>
        <w:ind w:firstLine="562" w:firstLineChars="200"/>
        <w:rPr>
          <w:rStyle w:val="17"/>
          <w:rFonts w:ascii="仿宋" w:hAnsi="仿宋" w:eastAsia="仿宋"/>
          <w:b/>
          <w:bCs/>
        </w:rPr>
      </w:pPr>
      <w:bookmarkStart w:id="17" w:name="_Toc70450304"/>
      <w:r>
        <w:rPr>
          <w:rStyle w:val="17"/>
          <w:rFonts w:hint="eastAsia" w:ascii="仿宋" w:hAnsi="仿宋" w:eastAsia="仿宋"/>
          <w:b/>
          <w:bCs/>
        </w:rPr>
        <w:t>2、专项资金实际使用情况</w:t>
      </w:r>
      <w:bookmarkEnd w:id="17"/>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2021年专项资金支出0万元，占总支出的0%，其中2021年专项项目支出比上年0万元增加0万元，上升0%。主要原因是：未安排预算。</w:t>
      </w:r>
    </w:p>
    <w:p>
      <w:pPr>
        <w:pStyle w:val="5"/>
        <w:spacing w:line="360" w:lineRule="auto"/>
        <w:ind w:firstLine="562" w:firstLineChars="200"/>
        <w:rPr>
          <w:rStyle w:val="17"/>
          <w:rFonts w:ascii="仿宋" w:hAnsi="仿宋" w:eastAsia="仿宋"/>
          <w:b/>
          <w:bCs/>
        </w:rPr>
      </w:pPr>
      <w:bookmarkStart w:id="18" w:name="_Toc70450305"/>
      <w:r>
        <w:rPr>
          <w:rStyle w:val="17"/>
          <w:rFonts w:hint="eastAsia" w:ascii="仿宋" w:hAnsi="仿宋" w:eastAsia="仿宋"/>
          <w:b/>
          <w:bCs/>
        </w:rPr>
        <w:t>3、专项资金管理情况</w:t>
      </w:r>
      <w:bookmarkEnd w:id="18"/>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为规范专项资金使用，提高专项资金使用效益，我单位主要采取四项措施。</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（1）制定了专项资金管理办法，各项资金使用审批流程均按规定办理。涉及“三重一大”内容，严格按照规定提请党组会审议决定，包括项目资金分配、重大项目确定、大额资金支付等。</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2</w:t>
      </w:r>
      <w:r>
        <w:rPr>
          <w:rStyle w:val="17"/>
          <w:rFonts w:hint="eastAsia" w:ascii="仿宋_GB2312" w:hAnsi="楷体" w:eastAsia="仿宋_GB2312"/>
          <w:b w:val="0"/>
          <w:spacing w:val="-4"/>
          <w:sz w:val="28"/>
          <w:szCs w:val="28"/>
        </w:rPr>
        <w:t>）建立专项资金专帐，做到有据可依，有据可查。</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（3）制订项目实施方案。</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（4）认真组织项目验收。</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专项资金涉及政府采购项目的，按照单位《特克斯县供销社采购与招标管理办法》组织人员制定采购计划，按照财政局采购部门批复，进行公开招标、邀请招标等方式进行。</w:t>
      </w:r>
    </w:p>
    <w:p>
      <w:pPr>
        <w:spacing w:line="360" w:lineRule="auto"/>
        <w:ind w:firstLine="492" w:firstLineChars="181"/>
        <w:rPr>
          <w:rStyle w:val="17"/>
          <w:rFonts w:ascii="仿宋_GB2312" w:hAnsi="楷体" w:eastAsia="仿宋_GB2312"/>
          <w:b w:val="0"/>
          <w:spacing w:val="-4"/>
          <w:sz w:val="28"/>
          <w:szCs w:val="28"/>
        </w:rPr>
      </w:pPr>
    </w:p>
    <w:p>
      <w:pPr>
        <w:pStyle w:val="2"/>
        <w:spacing w:line="360" w:lineRule="auto"/>
        <w:rPr>
          <w:rFonts w:ascii="仿宋" w:hAnsi="仿宋" w:eastAsia="仿宋"/>
          <w:sz w:val="36"/>
          <w:szCs w:val="36"/>
        </w:rPr>
      </w:pPr>
      <w:bookmarkStart w:id="19" w:name="_Toc70450306"/>
      <w:r>
        <w:rPr>
          <w:rFonts w:hint="eastAsia" w:ascii="仿宋" w:hAnsi="仿宋" w:eastAsia="仿宋"/>
          <w:sz w:val="36"/>
          <w:szCs w:val="36"/>
        </w:rPr>
        <w:t>三、部门单位专项组织实施情况</w:t>
      </w:r>
      <w:bookmarkEnd w:id="19"/>
    </w:p>
    <w:p>
      <w:pPr>
        <w:spacing w:line="360" w:lineRule="auto"/>
        <w:ind w:firstLine="544" w:firstLineChars="200"/>
        <w:rPr>
          <w:rStyle w:val="17"/>
          <w:rFonts w:hint="eastAsia"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本单位2021年度未安排项目支出预算</w:t>
      </w:r>
      <w:bookmarkStart w:id="20" w:name="_Toc70450308"/>
    </w:p>
    <w:bookmarkEnd w:id="20"/>
    <w:p>
      <w:pPr>
        <w:ind w:firstLine="544" w:firstLineChars="200"/>
        <w:rPr>
          <w:rStyle w:val="17"/>
          <w:rFonts w:ascii="仿宋_GB2312" w:hAnsi="楷体" w:eastAsia="仿宋_GB2312"/>
          <w:b w:val="0"/>
          <w:bCs w:val="0"/>
          <w:spacing w:val="-4"/>
          <w:sz w:val="28"/>
          <w:szCs w:val="28"/>
        </w:rPr>
      </w:pPr>
    </w:p>
    <w:p/>
    <w:p>
      <w:pPr>
        <w:pStyle w:val="2"/>
        <w:spacing w:line="360" w:lineRule="auto"/>
        <w:rPr>
          <w:rFonts w:ascii="仿宋" w:hAnsi="仿宋" w:eastAsia="仿宋"/>
          <w:sz w:val="36"/>
          <w:szCs w:val="36"/>
        </w:rPr>
      </w:pPr>
      <w:bookmarkStart w:id="21" w:name="_Toc70450310"/>
      <w:r>
        <w:rPr>
          <w:rFonts w:hint="eastAsia" w:ascii="仿宋" w:hAnsi="仿宋" w:eastAsia="仿宋"/>
          <w:sz w:val="36"/>
          <w:szCs w:val="36"/>
        </w:rPr>
        <w:t>四、资产管理情况</w:t>
      </w:r>
      <w:bookmarkEnd w:id="21"/>
    </w:p>
    <w:p>
      <w:pPr>
        <w:pStyle w:val="4"/>
        <w:spacing w:line="360" w:lineRule="auto"/>
        <w:rPr>
          <w:rStyle w:val="17"/>
          <w:rFonts w:ascii="仿宋" w:hAnsi="仿宋" w:eastAsia="仿宋"/>
          <w:b/>
          <w:bCs/>
        </w:rPr>
      </w:pPr>
      <w:bookmarkStart w:id="22" w:name="_Toc70450311"/>
      <w:r>
        <w:rPr>
          <w:rStyle w:val="17"/>
          <w:rFonts w:hint="eastAsia" w:ascii="仿宋" w:hAnsi="仿宋" w:eastAsia="仿宋"/>
          <w:b/>
          <w:bCs/>
        </w:rPr>
        <w:t>（一）资产配置情况</w:t>
      </w:r>
      <w:bookmarkEnd w:id="22"/>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2021年我</w:t>
      </w:r>
      <w:r>
        <w:rPr>
          <w:rStyle w:val="17"/>
          <w:rFonts w:hint="eastAsia" w:ascii="仿宋_GB2312" w:hAnsi="楷体" w:eastAsia="仿宋_GB2312"/>
          <w:b w:val="0"/>
          <w:spacing w:val="-4"/>
          <w:sz w:val="28"/>
          <w:szCs w:val="28"/>
        </w:rPr>
        <w:t>单位</w:t>
      </w:r>
      <w:r>
        <w:rPr>
          <w:rStyle w:val="17"/>
          <w:rFonts w:hint="eastAsia" w:ascii="仿宋_GB2312" w:hAnsi="宋体" w:eastAsia="仿宋_GB2312"/>
          <w:b w:val="0"/>
          <w:bCs w:val="0"/>
          <w:spacing w:val="-4"/>
          <w:sz w:val="28"/>
          <w:szCs w:val="28"/>
        </w:rPr>
        <w:t>资产总额1024.36万元，其中流动资产20.6万元（其中：财政应返回额度0.3万元，其他应收款20.30万元），固定资产净值3.76万元（其中：土地、房屋及构筑物0万元，占固定资产净值的0%；通用设备3.76万元，占固定资产净值的100%；专用设备0万元，占固定资产净值的0%）。</w:t>
      </w:r>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本年度流动资产20.6万元，比上年减少13.12万元，原因是：收回应收款项。</w:t>
      </w:r>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本年度固定资产11.07万元，比上年增加0万元，原因是：与上年持平。</w:t>
      </w:r>
    </w:p>
    <w:p>
      <w:pPr>
        <w:snapToGrid w:val="0"/>
        <w:spacing w:line="360" w:lineRule="auto"/>
        <w:ind w:firstLine="544" w:firstLineChars="200"/>
        <w:rPr>
          <w:rStyle w:val="17"/>
          <w:rFonts w:ascii="宋体" w:hAnsi="宋体" w:eastAsia="宋体"/>
          <w:bCs w:val="0"/>
          <w:color w:val="FF0000"/>
          <w:spacing w:val="-4"/>
          <w:sz w:val="28"/>
          <w:szCs w:val="28"/>
        </w:rPr>
      </w:pPr>
      <w:r>
        <w:rPr>
          <w:rStyle w:val="17"/>
          <w:rFonts w:hint="eastAsia" w:ascii="仿宋_GB2312" w:hAnsi="宋体" w:eastAsia="仿宋_GB2312"/>
          <w:b w:val="0"/>
          <w:bCs w:val="0"/>
          <w:spacing w:val="-4"/>
          <w:sz w:val="28"/>
          <w:szCs w:val="28"/>
        </w:rPr>
        <w:t>实际在用固定资产11.07万元，固定资产利用率100%。</w:t>
      </w:r>
    </w:p>
    <w:p>
      <w:pPr>
        <w:pStyle w:val="4"/>
        <w:spacing w:line="360" w:lineRule="auto"/>
        <w:rPr>
          <w:rStyle w:val="17"/>
          <w:rFonts w:ascii="仿宋" w:hAnsi="仿宋" w:eastAsia="仿宋"/>
          <w:b/>
          <w:bCs/>
        </w:rPr>
      </w:pPr>
      <w:bookmarkStart w:id="23" w:name="_Toc70450312"/>
      <w:r>
        <w:rPr>
          <w:rStyle w:val="17"/>
          <w:rFonts w:hint="eastAsia" w:ascii="仿宋" w:hAnsi="仿宋" w:eastAsia="仿宋"/>
          <w:b/>
          <w:bCs/>
        </w:rPr>
        <w:t>（二）资产管理情况</w:t>
      </w:r>
      <w:bookmarkEnd w:id="23"/>
    </w:p>
    <w:p>
      <w:pPr>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7"/>
          <w:rFonts w:ascii="仿宋_GB2312" w:hAnsi="宋体" w:eastAsia="仿宋_GB2312"/>
          <w:b w:val="0"/>
          <w:spacing w:val="-4"/>
          <w:sz w:val="28"/>
          <w:szCs w:val="28"/>
        </w:rPr>
      </w:pPr>
    </w:p>
    <w:p>
      <w:pPr>
        <w:pStyle w:val="2"/>
        <w:spacing w:line="360" w:lineRule="auto"/>
        <w:rPr>
          <w:rFonts w:ascii="仿宋" w:hAnsi="仿宋" w:eastAsia="仿宋"/>
          <w:sz w:val="36"/>
          <w:szCs w:val="36"/>
        </w:rPr>
      </w:pPr>
      <w:bookmarkStart w:id="24" w:name="_Toc70450313"/>
      <w:r>
        <w:rPr>
          <w:rFonts w:hint="eastAsia" w:ascii="仿宋" w:hAnsi="仿宋" w:eastAsia="仿宋"/>
          <w:sz w:val="36"/>
          <w:szCs w:val="36"/>
        </w:rPr>
        <w:t>五、部门单位整体支出绩效情况</w:t>
      </w:r>
      <w:bookmarkEnd w:id="24"/>
    </w:p>
    <w:p>
      <w:pPr>
        <w:pStyle w:val="4"/>
        <w:spacing w:line="360" w:lineRule="auto"/>
        <w:ind w:firstLine="643" w:firstLineChars="200"/>
        <w:rPr>
          <w:rStyle w:val="17"/>
          <w:rFonts w:ascii="仿宋" w:hAnsi="仿宋" w:eastAsia="仿宋"/>
          <w:b/>
          <w:bCs/>
        </w:rPr>
      </w:pPr>
      <w:bookmarkStart w:id="25" w:name="_Toc70450314"/>
      <w:r>
        <w:rPr>
          <w:rStyle w:val="17"/>
          <w:rFonts w:hint="eastAsia" w:ascii="仿宋" w:hAnsi="仿宋" w:eastAsia="仿宋"/>
          <w:b/>
          <w:bCs/>
        </w:rPr>
        <w:t>（一）经济效益评价</w:t>
      </w:r>
      <w:bookmarkEnd w:id="25"/>
    </w:p>
    <w:p>
      <w:pP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2021年度我单位年初预算安排122.64万元，年中调整</w:t>
      </w:r>
      <w:r>
        <w:rPr>
          <w:rStyle w:val="17"/>
          <w:rFonts w:hint="eastAsia" w:ascii="仿宋_GB2312" w:hAnsi="宋体" w:eastAsia="仿宋_GB2312"/>
          <w:b w:val="0"/>
          <w:bCs w:val="0"/>
          <w:spacing w:val="-4"/>
          <w:sz w:val="28"/>
          <w:szCs w:val="28"/>
          <w:highlight w:val="none"/>
          <w:lang w:val="en-US" w:eastAsia="zh-CN"/>
        </w:rPr>
        <w:t>50.44</w:t>
      </w:r>
      <w:r>
        <w:rPr>
          <w:rStyle w:val="17"/>
          <w:rFonts w:hint="eastAsia" w:ascii="仿宋_GB2312" w:hAnsi="宋体" w:eastAsia="仿宋_GB2312"/>
          <w:b w:val="0"/>
          <w:bCs w:val="0"/>
          <w:spacing w:val="-4"/>
          <w:sz w:val="28"/>
          <w:szCs w:val="28"/>
          <w:highlight w:val="none"/>
        </w:rPr>
        <w:t>万元，截止12月底支出173.08万元，执行率1</w:t>
      </w:r>
      <w:r>
        <w:rPr>
          <w:rStyle w:val="17"/>
          <w:rFonts w:hint="eastAsia" w:ascii="仿宋_GB2312" w:hAnsi="宋体" w:eastAsia="仿宋_GB2312"/>
          <w:b w:val="0"/>
          <w:bCs w:val="0"/>
          <w:spacing w:val="-4"/>
          <w:sz w:val="28"/>
          <w:szCs w:val="28"/>
          <w:highlight w:val="none"/>
          <w:lang w:val="en-US" w:eastAsia="zh-CN"/>
        </w:rPr>
        <w:t>00</w:t>
      </w:r>
      <w:r>
        <w:rPr>
          <w:rStyle w:val="17"/>
          <w:rFonts w:hint="eastAsia" w:ascii="仿宋_GB2312" w:hAnsi="宋体" w:eastAsia="仿宋_GB2312"/>
          <w:b w:val="0"/>
          <w:bCs w:val="0"/>
          <w:spacing w:val="-4"/>
          <w:sz w:val="28"/>
          <w:szCs w:val="28"/>
          <w:highlight w:val="none"/>
        </w:rPr>
        <w:t>%。</w:t>
      </w:r>
    </w:p>
    <w:p>
      <w:pPr>
        <w:spacing w:line="360" w:lineRule="auto"/>
        <w:ind w:firstLine="544" w:firstLineChars="200"/>
        <w:rPr>
          <w:rStyle w:val="17"/>
          <w:rFonts w:ascii="仿宋_GB2312" w:hAnsi="宋体" w:eastAsia="仿宋_GB2312"/>
          <w:b w:val="0"/>
          <w:bCs w:val="0"/>
          <w:spacing w:val="-4"/>
          <w:sz w:val="28"/>
          <w:szCs w:val="28"/>
        </w:rPr>
      </w:pPr>
      <w:r>
        <w:rPr>
          <w:rStyle w:val="17"/>
          <w:rFonts w:ascii="仿宋_GB2312" w:hAnsi="宋体" w:eastAsia="仿宋_GB2312"/>
          <w:b w:val="0"/>
          <w:bCs w:val="0"/>
          <w:spacing w:val="-4"/>
          <w:sz w:val="28"/>
          <w:szCs w:val="28"/>
        </w:rPr>
        <w:t>1</w:t>
      </w:r>
      <w:r>
        <w:rPr>
          <w:rStyle w:val="17"/>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7"/>
          <w:rFonts w:ascii="仿宋_GB2312" w:hAnsi="宋体" w:eastAsia="仿宋_GB2312"/>
          <w:b w:val="0"/>
          <w:bCs w:val="0"/>
          <w:spacing w:val="-4"/>
          <w:sz w:val="28"/>
          <w:szCs w:val="28"/>
        </w:rPr>
      </w:pPr>
      <w:r>
        <w:rPr>
          <w:rStyle w:val="17"/>
          <w:rFonts w:ascii="仿宋_GB2312" w:hAnsi="宋体" w:eastAsia="仿宋_GB2312"/>
          <w:b w:val="0"/>
          <w:bCs w:val="0"/>
          <w:spacing w:val="-4"/>
          <w:sz w:val="28"/>
          <w:szCs w:val="28"/>
        </w:rPr>
        <w:t>2</w:t>
      </w:r>
      <w:r>
        <w:rPr>
          <w:rStyle w:val="17"/>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7"/>
          <w:rFonts w:ascii="仿宋" w:hAnsi="仿宋" w:eastAsia="仿宋"/>
          <w:b/>
          <w:bCs/>
        </w:rPr>
      </w:pPr>
      <w:bookmarkStart w:id="26" w:name="_Toc70450315"/>
      <w:r>
        <w:rPr>
          <w:rStyle w:val="17"/>
          <w:rFonts w:hint="eastAsia" w:ascii="仿宋" w:hAnsi="仿宋" w:eastAsia="仿宋"/>
          <w:b/>
          <w:bCs/>
        </w:rPr>
        <w:t>（二）效率性评价</w:t>
      </w:r>
      <w:bookmarkEnd w:id="26"/>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2021年，在特克斯县财政局的大力支持和特克斯县人民政府的正确领导下，我</w:t>
      </w:r>
      <w:r>
        <w:rPr>
          <w:rStyle w:val="17"/>
          <w:rFonts w:hint="eastAsia" w:ascii="仿宋_GB2312" w:hAnsi="楷体" w:eastAsia="仿宋_GB2312"/>
          <w:b w:val="0"/>
          <w:spacing w:val="-4"/>
          <w:sz w:val="28"/>
          <w:szCs w:val="28"/>
        </w:rPr>
        <w:t>单位</w:t>
      </w:r>
      <w:r>
        <w:rPr>
          <w:rStyle w:val="17"/>
          <w:rFonts w:hint="eastAsia" w:ascii="仿宋_GB2312" w:hAnsi="宋体" w:eastAsia="仿宋_GB2312"/>
          <w:b w:val="0"/>
          <w:bCs w:val="0"/>
          <w:spacing w:val="-4"/>
          <w:sz w:val="28"/>
          <w:szCs w:val="28"/>
        </w:rPr>
        <w:t>迎难而上、务实重干，积极推动各项工作取得了新的进展，为促进经济持续健康发展与社会和谐稳定提供了有力的支撑和保障。</w:t>
      </w:r>
    </w:p>
    <w:p>
      <w:pPr>
        <w:spacing w:line="360" w:lineRule="auto"/>
        <w:ind w:firstLine="544" w:firstLineChars="200"/>
        <w:rPr>
          <w:rStyle w:val="17"/>
          <w:rFonts w:hint="eastAsia"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rPr>
        <w:t>1、圆满完成改造升级薄弱基层社和新建村级基层社工作</w:t>
      </w:r>
    </w:p>
    <w:p>
      <w:pPr>
        <w:spacing w:line="360" w:lineRule="auto"/>
        <w:ind w:firstLine="544" w:firstLineChars="200"/>
        <w:rPr>
          <w:rStyle w:val="17"/>
          <w:rFonts w:hint="eastAsia"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lang w:val="en-US" w:eastAsia="zh-CN"/>
        </w:rPr>
        <w:t>积极推进供销合作社综合改革，扎实开展村级基层社建设工作。2021年以来，我社共召开村级基层社建设相关工作会议3次，对上级文件进行多次学习，研讨确定村级基层社建设点，布置建设工作任务等。以呼吉尔特蒙古乡前进新村供销社为试点，目前已建设完成2个村级基层社。</w:t>
      </w:r>
    </w:p>
    <w:p>
      <w:pPr>
        <w:spacing w:line="360" w:lineRule="auto"/>
        <w:ind w:firstLine="544" w:firstLineChars="200"/>
        <w:rPr>
          <w:rStyle w:val="17"/>
          <w:rFonts w:hint="eastAsia"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rPr>
        <w:t>2、创建标杆基层社、新建综合服务社、新建农业生产服务中心任务提前完成</w:t>
      </w:r>
    </w:p>
    <w:p>
      <w:pPr>
        <w:spacing w:line="360" w:lineRule="auto"/>
        <w:ind w:firstLine="544" w:firstLineChars="200"/>
        <w:rPr>
          <w:rStyle w:val="17"/>
          <w:rFonts w:hint="eastAsia"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lang w:val="en-US" w:eastAsia="zh-CN"/>
        </w:rPr>
        <w:t>推进“三位一体”服务体系建设，扩大供销服务范围。2021年，共新建综合服务社2个，新建农业生产服务中心1个，</w:t>
      </w:r>
      <w:r>
        <w:rPr>
          <w:rStyle w:val="17"/>
          <w:rFonts w:hint="eastAsia" w:ascii="仿宋_GB2312" w:hAnsi="宋体" w:eastAsia="仿宋_GB2312" w:cs="Times New Roman"/>
          <w:b w:val="0"/>
          <w:bCs w:val="0"/>
          <w:spacing w:val="-4"/>
          <w:sz w:val="28"/>
          <w:szCs w:val="28"/>
        </w:rPr>
        <w:t>创建标杆基层社</w:t>
      </w:r>
      <w:r>
        <w:rPr>
          <w:rStyle w:val="17"/>
          <w:rFonts w:hint="eastAsia" w:ascii="仿宋_GB2312" w:hAnsi="宋体" w:eastAsia="仿宋_GB2312" w:cs="Times New Roman"/>
          <w:b w:val="0"/>
          <w:bCs w:val="0"/>
          <w:spacing w:val="-4"/>
          <w:sz w:val="28"/>
          <w:szCs w:val="28"/>
          <w:lang w:val="en-US" w:eastAsia="zh-CN"/>
        </w:rPr>
        <w:t>1个，不断扩大供销服务范围，丰富服务内容和手段，拓展经营服务领域，进一步提升农业社会化服务层次和水平。</w:t>
      </w:r>
    </w:p>
    <w:p>
      <w:pPr>
        <w:spacing w:line="360" w:lineRule="auto"/>
        <w:ind w:firstLine="544" w:firstLineChars="200"/>
        <w:rPr>
          <w:rStyle w:val="17"/>
          <w:rFonts w:hint="eastAsia" w:ascii="仿宋_GB2312" w:hAnsi="宋体" w:eastAsia="仿宋_GB2312" w:cs="Times New Roman"/>
          <w:b w:val="0"/>
          <w:bCs w:val="0"/>
          <w:spacing w:val="-4"/>
          <w:sz w:val="28"/>
          <w:szCs w:val="28"/>
        </w:rPr>
      </w:pPr>
      <w:r>
        <w:rPr>
          <w:rStyle w:val="17"/>
          <w:rFonts w:hint="eastAsia" w:ascii="仿宋_GB2312" w:hAnsi="宋体" w:eastAsia="仿宋_GB2312" w:cs="Times New Roman"/>
          <w:b w:val="0"/>
          <w:bCs w:val="0"/>
          <w:spacing w:val="-4"/>
          <w:sz w:val="28"/>
          <w:szCs w:val="28"/>
          <w:lang w:val="en-US" w:eastAsia="zh-CN"/>
        </w:rPr>
        <w:t>3、</w:t>
      </w:r>
      <w:r>
        <w:rPr>
          <w:rStyle w:val="17"/>
          <w:rFonts w:hint="eastAsia" w:ascii="仿宋_GB2312" w:hAnsi="宋体" w:eastAsia="仿宋_GB2312" w:cs="Times New Roman"/>
          <w:b w:val="0"/>
          <w:bCs w:val="0"/>
          <w:spacing w:val="-4"/>
          <w:sz w:val="28"/>
          <w:szCs w:val="28"/>
        </w:rPr>
        <w:t>提高农民专业合作社规模效益成效显著</w:t>
      </w:r>
    </w:p>
    <w:p>
      <w:pPr>
        <w:spacing w:line="360" w:lineRule="auto"/>
        <w:ind w:firstLine="544" w:firstLineChars="200"/>
        <w:rPr>
          <w:rStyle w:val="17"/>
          <w:rFonts w:hint="default" w:ascii="仿宋_GB2312" w:hAnsi="宋体" w:eastAsia="仿宋_GB2312" w:cs="Times New Roman"/>
          <w:b w:val="0"/>
          <w:bCs w:val="0"/>
          <w:spacing w:val="-4"/>
          <w:sz w:val="28"/>
          <w:szCs w:val="28"/>
          <w:lang w:val="en-US"/>
        </w:rPr>
      </w:pPr>
      <w:r>
        <w:rPr>
          <w:rStyle w:val="17"/>
          <w:rFonts w:hint="eastAsia" w:ascii="仿宋_GB2312" w:hAnsi="宋体" w:eastAsia="仿宋_GB2312" w:cs="Times New Roman"/>
          <w:b w:val="0"/>
          <w:bCs w:val="0"/>
          <w:spacing w:val="-4"/>
          <w:sz w:val="28"/>
          <w:szCs w:val="28"/>
        </w:rPr>
        <w:t>有效提高农民专业合作社规模效益。</w:t>
      </w:r>
      <w:r>
        <w:rPr>
          <w:rStyle w:val="17"/>
          <w:rFonts w:hint="eastAsia" w:ascii="仿宋_GB2312" w:hAnsi="宋体" w:eastAsia="仿宋_GB2312" w:cs="Times New Roman"/>
          <w:b w:val="0"/>
          <w:bCs w:val="0"/>
          <w:spacing w:val="-4"/>
          <w:sz w:val="28"/>
          <w:szCs w:val="28"/>
          <w:lang w:val="en-US" w:eastAsia="zh-CN"/>
        </w:rPr>
        <w:t>县供销社全系统实现销售总额36971万元。</w:t>
      </w:r>
    </w:p>
    <w:p>
      <w:pPr>
        <w:spacing w:line="360" w:lineRule="auto"/>
        <w:ind w:firstLine="544" w:firstLineChars="200"/>
        <w:rPr>
          <w:rStyle w:val="17"/>
          <w:rFonts w:hint="eastAsia" w:ascii="仿宋_GB2312" w:hAnsi="宋体" w:eastAsia="仿宋_GB2312" w:cs="Times New Roman"/>
          <w:b w:val="0"/>
          <w:bCs w:val="0"/>
          <w:spacing w:val="-4"/>
          <w:sz w:val="28"/>
          <w:szCs w:val="28"/>
          <w:lang w:val="en-US" w:eastAsia="zh-CN"/>
        </w:rPr>
      </w:pPr>
      <w:r>
        <w:rPr>
          <w:rStyle w:val="17"/>
          <w:rFonts w:hint="eastAsia" w:ascii="仿宋_GB2312" w:hAnsi="宋体" w:eastAsia="仿宋_GB2312" w:cs="Times New Roman"/>
          <w:b w:val="0"/>
          <w:bCs w:val="0"/>
          <w:spacing w:val="-4"/>
          <w:sz w:val="28"/>
          <w:szCs w:val="28"/>
          <w:lang w:val="en-US" w:eastAsia="zh-CN"/>
        </w:rPr>
        <w:t>4、规范发展提升农民专业合作社。</w:t>
      </w:r>
    </w:p>
    <w:p>
      <w:pPr>
        <w:spacing w:line="360" w:lineRule="auto"/>
        <w:ind w:firstLine="544" w:firstLineChars="200"/>
        <w:rPr>
          <w:rStyle w:val="17"/>
          <w:rFonts w:hint="eastAsia" w:ascii="仿宋_GB2312" w:hAnsi="宋体" w:eastAsia="仿宋_GB2312" w:cs="Times New Roman"/>
          <w:b w:val="0"/>
          <w:bCs w:val="0"/>
          <w:spacing w:val="-4"/>
          <w:sz w:val="28"/>
          <w:szCs w:val="28"/>
          <w:lang w:val="en-US" w:eastAsia="zh-CN"/>
        </w:rPr>
      </w:pPr>
      <w:r>
        <w:rPr>
          <w:rStyle w:val="17"/>
          <w:rFonts w:hint="eastAsia" w:ascii="仿宋_GB2312" w:hAnsi="宋体" w:eastAsia="仿宋_GB2312" w:cs="Times New Roman"/>
          <w:b w:val="0"/>
          <w:bCs w:val="0"/>
          <w:spacing w:val="-4"/>
          <w:sz w:val="28"/>
          <w:szCs w:val="28"/>
          <w:lang w:val="en-US" w:eastAsia="zh-CN"/>
        </w:rPr>
        <w:t>2021年，我社认真贯彻落实上级关于加强供销合作社服务精神，规范发展提升农民专业合作社，</w:t>
      </w:r>
      <w:r>
        <w:rPr>
          <w:rStyle w:val="17"/>
          <w:rFonts w:hint="eastAsia" w:ascii="仿宋_GB2312" w:hAnsi="宋体" w:eastAsia="仿宋_GB2312" w:cs="Times New Roman"/>
          <w:b w:val="0"/>
          <w:bCs w:val="0"/>
          <w:spacing w:val="-4"/>
          <w:sz w:val="28"/>
          <w:szCs w:val="28"/>
        </w:rPr>
        <w:t>已引领新建农民专业合作社</w:t>
      </w:r>
      <w:r>
        <w:rPr>
          <w:rStyle w:val="17"/>
          <w:rFonts w:hint="eastAsia" w:ascii="仿宋_GB2312" w:hAnsi="宋体" w:eastAsia="仿宋_GB2312" w:cs="Times New Roman"/>
          <w:b w:val="0"/>
          <w:bCs w:val="0"/>
          <w:spacing w:val="-4"/>
          <w:sz w:val="28"/>
          <w:szCs w:val="28"/>
          <w:lang w:val="en-US" w:eastAsia="zh-CN"/>
        </w:rPr>
        <w:t>1</w:t>
      </w:r>
      <w:r>
        <w:rPr>
          <w:rStyle w:val="17"/>
          <w:rFonts w:hint="eastAsia" w:ascii="仿宋_GB2312" w:hAnsi="宋体" w:eastAsia="仿宋_GB2312" w:cs="Times New Roman"/>
          <w:b w:val="0"/>
          <w:bCs w:val="0"/>
          <w:spacing w:val="-4"/>
          <w:sz w:val="28"/>
          <w:szCs w:val="28"/>
        </w:rPr>
        <w:t>个，规范提升农民专业合作社2个，全面完成</w:t>
      </w:r>
      <w:r>
        <w:rPr>
          <w:rStyle w:val="17"/>
          <w:rFonts w:hint="eastAsia" w:ascii="仿宋_GB2312" w:hAnsi="宋体" w:eastAsia="仿宋_GB2312" w:cs="Times New Roman"/>
          <w:b w:val="0"/>
          <w:bCs w:val="0"/>
          <w:spacing w:val="-4"/>
          <w:sz w:val="28"/>
          <w:szCs w:val="28"/>
          <w:lang w:eastAsia="zh-CN"/>
        </w:rPr>
        <w:t>年度</w:t>
      </w:r>
      <w:r>
        <w:rPr>
          <w:rStyle w:val="17"/>
          <w:rFonts w:hint="eastAsia" w:ascii="仿宋_GB2312" w:hAnsi="宋体" w:eastAsia="仿宋_GB2312" w:cs="Times New Roman"/>
          <w:b w:val="0"/>
          <w:bCs w:val="0"/>
          <w:spacing w:val="-4"/>
          <w:sz w:val="28"/>
          <w:szCs w:val="28"/>
        </w:rPr>
        <w:t>目标任务。利用电商建设时机，大力扶持合作社品牌建设、包装设计、营销展销，整合合作社产品商标，不断提升我县合作社农产品的包装档次，提升了市场地位和知名度，有力推动农民专业合作社的健康发展</w:t>
      </w:r>
      <w:r>
        <w:rPr>
          <w:rStyle w:val="17"/>
          <w:rFonts w:hint="eastAsia" w:ascii="仿宋_GB2312" w:hAnsi="宋体" w:eastAsia="仿宋_GB2312" w:cs="Times New Roman"/>
          <w:b w:val="0"/>
          <w:bCs w:val="0"/>
          <w:spacing w:val="-4"/>
          <w:sz w:val="28"/>
          <w:szCs w:val="28"/>
          <w:lang w:eastAsia="zh-CN"/>
        </w:rPr>
        <w:t>。</w:t>
      </w:r>
    </w:p>
    <w:p>
      <w:pPr>
        <w:pStyle w:val="4"/>
        <w:spacing w:line="360" w:lineRule="auto"/>
        <w:ind w:firstLine="643" w:firstLineChars="200"/>
        <w:rPr>
          <w:rStyle w:val="17"/>
          <w:rFonts w:ascii="仿宋" w:hAnsi="仿宋" w:eastAsia="仿宋"/>
          <w:b/>
          <w:bCs/>
        </w:rPr>
      </w:pPr>
      <w:bookmarkStart w:id="27" w:name="_Toc70450316"/>
      <w:r>
        <w:rPr>
          <w:rStyle w:val="17"/>
          <w:rFonts w:hint="eastAsia" w:ascii="仿宋" w:hAnsi="仿宋" w:eastAsia="仿宋"/>
          <w:b/>
          <w:bCs/>
        </w:rPr>
        <w:t>（三）有效性评价</w:t>
      </w:r>
      <w:bookmarkEnd w:id="27"/>
    </w:p>
    <w:p>
      <w:pPr>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2021年部门支出的有效性主要体现在我单位各项工作成效上，一是单位工作正常开展和各项任务进一步夯实，二是引领供销社全系统发展能力进一步提升，三是单位工作环境进一步改善，四是供销社全系统销售额进一步提高，五是基层社改造升级任务进一步推进，七是工作业务水平进一步增强，详细情况如下：</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特克斯县供销合作社联合社部门单位整体绩效目标共设置一级指标3个，二级指标7个，三级指标13个，详细说明如下</w:t>
      </w:r>
    </w:p>
    <w:p>
      <w:pPr>
        <w:snapToGrid w:val="0"/>
        <w:spacing w:line="360" w:lineRule="auto"/>
        <w:ind w:firstLine="544" w:firstLineChars="200"/>
        <w:rPr>
          <w:rStyle w:val="17"/>
          <w:rFonts w:ascii="仿宋_GB2312" w:hAnsi="宋体" w:eastAsia="仿宋_GB2312"/>
          <w:b w:val="0"/>
          <w:spacing w:val="-4"/>
          <w:sz w:val="28"/>
          <w:szCs w:val="28"/>
        </w:rPr>
      </w:pPr>
      <w:r>
        <w:rPr>
          <w:rStyle w:val="17"/>
          <w:rFonts w:ascii="仿宋_GB2312" w:hAnsi="宋体" w:eastAsia="仿宋_GB2312"/>
          <w:b w:val="0"/>
          <w:spacing w:val="-4"/>
          <w:sz w:val="28"/>
          <w:szCs w:val="28"/>
        </w:rPr>
        <w:t>1</w:t>
      </w:r>
      <w:r>
        <w:rPr>
          <w:rStyle w:val="17"/>
          <w:rFonts w:hint="eastAsia" w:ascii="仿宋_GB2312" w:hAnsi="宋体" w:eastAsia="仿宋_GB2312"/>
          <w:b w:val="0"/>
          <w:spacing w:val="-4"/>
          <w:sz w:val="28"/>
          <w:szCs w:val="28"/>
        </w:rPr>
        <w:t>、数量指标：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指标1：保障供销社机关干部职工及离退休人数，指标值：≥16人，实际完成值：16人，指标完成率100%；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：工资及社保发放次数，指标值：≥12次，实际完成值：12次次，指标完成率100%；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、质量指标：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指标1：工资及公用经费保障率，指标值：≥98%，实际完成值：98%，指标完成率100%；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：基层社进行升级改造合格率，指标值：≥98%，实际完成值：98%，指标完成率100%；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ascii="仿宋_GB2312" w:hAnsi="宋体" w:eastAsia="仿宋_GB2312"/>
          <w:b w:val="0"/>
          <w:spacing w:val="-4"/>
          <w:sz w:val="28"/>
          <w:szCs w:val="28"/>
        </w:rPr>
        <w:t>3</w:t>
      </w:r>
      <w:r>
        <w:rPr>
          <w:rStyle w:val="17"/>
          <w:rFonts w:hint="eastAsia" w:ascii="仿宋_GB2312" w:hAnsi="宋体" w:eastAsia="仿宋_GB2312"/>
          <w:b w:val="0"/>
          <w:spacing w:val="-4"/>
          <w:sz w:val="28"/>
          <w:szCs w:val="28"/>
        </w:rPr>
        <w:t>、时效指标：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指标1：工资及社保发放及时性，指标值：≥98%，实际完成值：98%，指标完成率100%；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ascii="仿宋_GB2312" w:hAnsi="宋体" w:eastAsia="仿宋_GB2312"/>
          <w:b w:val="0"/>
          <w:spacing w:val="-4"/>
          <w:sz w:val="28"/>
          <w:szCs w:val="28"/>
        </w:rPr>
        <w:t>4</w:t>
      </w:r>
      <w:r>
        <w:rPr>
          <w:rStyle w:val="17"/>
          <w:rFonts w:hint="eastAsia" w:ascii="仿宋_GB2312" w:hAnsi="宋体" w:eastAsia="仿宋_GB2312"/>
          <w:b w:val="0"/>
          <w:spacing w:val="-4"/>
          <w:sz w:val="28"/>
          <w:szCs w:val="28"/>
        </w:rPr>
        <w:t>、成本指标：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指标1：人均支出标准，指标值：≤10.77万元/每人，实际完成值：10.77万元/每人，指标完成率100%；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：人均运转经费数，指标值：≤0.37万元/每人，实际完成值：0.37万元/每人，指标完成率100%；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ascii="仿宋_GB2312" w:hAnsi="宋体" w:eastAsia="仿宋_GB2312"/>
          <w:b w:val="0"/>
          <w:spacing w:val="-4"/>
          <w:sz w:val="28"/>
          <w:szCs w:val="28"/>
        </w:rPr>
        <w:t>5</w:t>
      </w:r>
      <w:r>
        <w:rPr>
          <w:rStyle w:val="17"/>
          <w:rFonts w:hint="eastAsia" w:ascii="仿宋_GB2312" w:hAnsi="宋体" w:eastAsia="仿宋_GB2312"/>
          <w:b w:val="0"/>
          <w:spacing w:val="-4"/>
          <w:sz w:val="28"/>
          <w:szCs w:val="28"/>
        </w:rPr>
        <w:t>、经济效益指标：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指标1：县供销社全系统实现销售总额，指标值：≥8220万元，实际完成值：8220万元，指标完成率100%；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ascii="仿宋_GB2312" w:hAnsi="宋体" w:eastAsia="仿宋_GB2312"/>
          <w:b w:val="0"/>
          <w:spacing w:val="-4"/>
          <w:sz w:val="28"/>
          <w:szCs w:val="28"/>
        </w:rPr>
        <w:t>6</w:t>
      </w:r>
      <w:r>
        <w:rPr>
          <w:rStyle w:val="17"/>
          <w:rFonts w:hint="eastAsia" w:ascii="仿宋_GB2312" w:hAnsi="宋体" w:eastAsia="仿宋_GB2312"/>
          <w:b w:val="0"/>
          <w:spacing w:val="-4"/>
          <w:sz w:val="28"/>
          <w:szCs w:val="28"/>
        </w:rPr>
        <w:t>、社会效益指标：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指标1：提高农民专业合作社规模效益，指标值：有效提高，实际完成值：有效提高，指标完成率100%；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：保障部门业务顺利开展，指标值：有效保障，实际完成值：有效保障，指标完成率100%；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指标3：加快供销社系统服务体系建设，指标值：有效加快，实际完成值：有效加快，指标完成率100%；</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7、满意度指标：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指标1：享受惠民政策群众满意度，指标值：≥95%，实际完成值：95%，指标完成率100%；</w:t>
      </w:r>
    </w:p>
    <w:p>
      <w:pPr>
        <w:snapToGrid w:val="0"/>
        <w:spacing w:line="360" w:lineRule="auto"/>
        <w:ind w:firstLine="544" w:firstLineChars="200"/>
        <w:rPr>
          <w:rStyle w:val="17"/>
          <w:rFonts w:hint="eastAsia" w:ascii="仿宋_GB2312" w:hAnsi="宋体" w:eastAsia="仿宋_GB2312"/>
          <w:b w:val="0"/>
          <w:spacing w:val="-4"/>
          <w:sz w:val="28"/>
          <w:szCs w:val="28"/>
          <w:lang w:eastAsia="zh-CN"/>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：干部职工满意度，指标值：≥95%，实际完成值：95%，指标完成率100%</w:t>
      </w:r>
      <w:r>
        <w:rPr>
          <w:rStyle w:val="17"/>
          <w:rFonts w:hint="eastAsia" w:ascii="仿宋_GB2312" w:hAnsi="宋体" w:eastAsia="仿宋_GB2312"/>
          <w:b w:val="0"/>
          <w:spacing w:val="-4"/>
          <w:sz w:val="28"/>
          <w:szCs w:val="28"/>
          <w:lang w:eastAsia="zh-CN"/>
        </w:rPr>
        <w:t>。</w:t>
      </w:r>
    </w:p>
    <w:p>
      <w:pPr>
        <w:pStyle w:val="2"/>
        <w:spacing w:line="360" w:lineRule="auto"/>
        <w:rPr>
          <w:rFonts w:ascii="仿宋" w:hAnsi="仿宋" w:eastAsia="仿宋"/>
          <w:sz w:val="36"/>
          <w:szCs w:val="36"/>
        </w:rPr>
      </w:pPr>
      <w:bookmarkStart w:id="28" w:name="_Toc70450317"/>
      <w:r>
        <w:rPr>
          <w:rFonts w:hint="eastAsia" w:ascii="仿宋" w:hAnsi="仿宋" w:eastAsia="仿宋"/>
          <w:sz w:val="36"/>
          <w:szCs w:val="36"/>
        </w:rPr>
        <w:t>六、存在的主要问题</w:t>
      </w:r>
      <w:bookmarkEnd w:id="28"/>
    </w:p>
    <w:p>
      <w:pPr>
        <w:pStyle w:val="13"/>
        <w:widowControl/>
        <w:spacing w:before="40" w:beforeAutospacing="0" w:after="0" w:afterAutospacing="0" w:line="520" w:lineRule="atLeast"/>
        <w:ind w:firstLine="544" w:firstLineChars="200"/>
        <w:jc w:val="both"/>
        <w:rPr>
          <w:rStyle w:val="17"/>
          <w:rFonts w:ascii="仿宋_GB2312" w:hAnsi="宋体" w:eastAsia="仿宋_GB2312" w:cstheme="minorBidi"/>
          <w:b w:val="0"/>
          <w:color w:val="auto"/>
          <w:spacing w:val="-4"/>
          <w:kern w:val="2"/>
          <w:sz w:val="28"/>
          <w:szCs w:val="28"/>
        </w:rPr>
      </w:pPr>
      <w:r>
        <w:rPr>
          <w:rStyle w:val="17"/>
          <w:rFonts w:hint="eastAsia" w:ascii="仿宋_GB2312" w:hAnsi="宋体" w:eastAsia="仿宋_GB2312" w:cstheme="minorBidi"/>
          <w:b w:val="0"/>
          <w:color w:val="auto"/>
          <w:spacing w:val="-4"/>
          <w:kern w:val="2"/>
          <w:sz w:val="28"/>
          <w:szCs w:val="28"/>
        </w:rPr>
        <w:t>(一)预算执行存在偏差</w:t>
      </w:r>
    </w:p>
    <w:p>
      <w:pPr>
        <w:pStyle w:val="13"/>
        <w:widowControl/>
        <w:spacing w:before="40" w:beforeAutospacing="0" w:after="0" w:afterAutospacing="0" w:line="520" w:lineRule="atLeast"/>
        <w:ind w:firstLine="520"/>
        <w:jc w:val="both"/>
        <w:rPr>
          <w:rStyle w:val="17"/>
          <w:rFonts w:ascii="仿宋_GB2312" w:hAnsi="宋体" w:eastAsia="仿宋_GB2312" w:cstheme="minorBidi"/>
          <w:b w:val="0"/>
          <w:color w:val="auto"/>
          <w:spacing w:val="-4"/>
          <w:kern w:val="2"/>
          <w:sz w:val="28"/>
          <w:szCs w:val="28"/>
        </w:rPr>
      </w:pPr>
      <w:r>
        <w:rPr>
          <w:rStyle w:val="17"/>
          <w:rFonts w:hint="eastAsia" w:ascii="仿宋_GB2312" w:hAnsi="宋体" w:eastAsia="仿宋_GB2312" w:cstheme="minorBidi"/>
          <w:b w:val="0"/>
          <w:color w:val="auto"/>
          <w:spacing w:val="-4"/>
          <w:kern w:val="2"/>
          <w:sz w:val="28"/>
          <w:szCs w:val="28"/>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30"/>
        <w:numPr>
          <w:ilvl w:val="0"/>
          <w:numId w:val="1"/>
        </w:numPr>
        <w:spacing w:line="560" w:lineRule="exact"/>
        <w:ind w:firstLine="530" w:firstLineChars="195"/>
        <w:rPr>
          <w:rStyle w:val="17"/>
          <w:rFonts w:ascii="仿宋_GB2312" w:hAnsi="宋体" w:eastAsia="仿宋_GB2312" w:cstheme="minorBidi"/>
          <w:b w:val="0"/>
          <w:color w:val="auto"/>
          <w:spacing w:val="-4"/>
          <w:kern w:val="2"/>
          <w:sz w:val="28"/>
        </w:rPr>
      </w:pPr>
      <w:r>
        <w:rPr>
          <w:rStyle w:val="17"/>
          <w:rFonts w:hint="eastAsia" w:ascii="仿宋_GB2312" w:hAnsi="宋体" w:eastAsia="仿宋_GB2312" w:cstheme="minorBidi"/>
          <w:b w:val="0"/>
          <w:color w:val="auto"/>
          <w:spacing w:val="-4"/>
          <w:kern w:val="2"/>
          <w:sz w:val="28"/>
        </w:rPr>
        <w:t>项目细化管理工作不足。</w:t>
      </w:r>
      <w:r>
        <w:rPr>
          <w:rStyle w:val="17"/>
          <w:rFonts w:ascii="仿宋_GB2312" w:hAnsi="宋体" w:eastAsia="仿宋_GB2312" w:cstheme="minorBidi"/>
          <w:b w:val="0"/>
          <w:color w:val="auto"/>
          <w:spacing w:val="-4"/>
          <w:kern w:val="2"/>
          <w:sz w:val="28"/>
        </w:rPr>
        <w:t>办公经费包含小类项目较多，主要是办公用品、劳务费等，在执行过程中，办公用品费、劳务费的使用范围并不能把握到位，造成项目遇到各种不确定因素，财政资金无法发挥最大使用效益。</w:t>
      </w:r>
    </w:p>
    <w:p>
      <w:pPr>
        <w:pStyle w:val="30"/>
        <w:spacing w:line="560" w:lineRule="exact"/>
        <w:ind w:firstLine="544" w:firstLineChars="200"/>
        <w:rPr>
          <w:rStyle w:val="17"/>
          <w:rFonts w:ascii="仿宋_GB2312" w:hAnsi="宋体" w:eastAsia="仿宋_GB2312" w:cstheme="minorBidi"/>
          <w:b w:val="0"/>
          <w:color w:val="auto"/>
          <w:spacing w:val="-4"/>
          <w:kern w:val="2"/>
          <w:sz w:val="28"/>
        </w:rPr>
      </w:pPr>
      <w:r>
        <w:rPr>
          <w:rStyle w:val="17"/>
          <w:rFonts w:hint="eastAsia" w:ascii="仿宋_GB2312" w:hAnsi="宋体" w:eastAsia="仿宋_GB2312" w:cstheme="minorBidi"/>
          <w:b w:val="0"/>
          <w:color w:val="auto"/>
          <w:spacing w:val="-4"/>
          <w:kern w:val="2"/>
          <w:sz w:val="28"/>
        </w:rPr>
        <w:t>（三）预算绩效管理水平仍有欠缺。在</w:t>
      </w:r>
      <w:r>
        <w:rPr>
          <w:rStyle w:val="17"/>
          <w:rFonts w:ascii="仿宋_GB2312" w:hAnsi="宋体" w:eastAsia="仿宋_GB2312" w:cstheme="minorBidi"/>
          <w:b w:val="0"/>
          <w:color w:val="auto"/>
          <w:spacing w:val="-4"/>
          <w:kern w:val="2"/>
          <w:sz w:val="28"/>
        </w:rPr>
        <w:t>202</w:t>
      </w:r>
      <w:r>
        <w:rPr>
          <w:rStyle w:val="17"/>
          <w:rFonts w:hint="eastAsia" w:ascii="仿宋_GB2312" w:hAnsi="宋体" w:eastAsia="仿宋_GB2312" w:cstheme="minorBidi"/>
          <w:b w:val="0"/>
          <w:color w:val="auto"/>
          <w:spacing w:val="-4"/>
          <w:kern w:val="2"/>
          <w:sz w:val="28"/>
        </w:rPr>
        <w:t>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3"/>
        <w:widowControl/>
        <w:spacing w:before="40" w:beforeAutospacing="0" w:after="0" w:afterAutospacing="0" w:line="520" w:lineRule="atLeast"/>
        <w:ind w:firstLine="272" w:firstLineChars="100"/>
        <w:jc w:val="both"/>
        <w:rPr>
          <w:rStyle w:val="17"/>
          <w:rFonts w:ascii="仿宋_GB2312" w:hAnsi="宋体" w:eastAsia="仿宋_GB2312" w:cstheme="minorBidi"/>
          <w:b w:val="0"/>
          <w:color w:val="auto"/>
          <w:spacing w:val="-4"/>
          <w:kern w:val="2"/>
          <w:sz w:val="28"/>
          <w:szCs w:val="28"/>
        </w:rPr>
      </w:pPr>
      <w:r>
        <w:rPr>
          <w:rStyle w:val="17"/>
          <w:rFonts w:hint="eastAsia" w:ascii="仿宋_GB2312" w:hAnsi="宋体" w:eastAsia="仿宋_GB2312" w:cstheme="minorBidi"/>
          <w:b w:val="0"/>
          <w:color w:val="auto"/>
          <w:spacing w:val="-4"/>
          <w:kern w:val="2"/>
          <w:sz w:val="28"/>
          <w:szCs w:val="28"/>
        </w:rPr>
        <w:t>（四）固定资产管理水平有待提高</w:t>
      </w:r>
    </w:p>
    <w:p>
      <w:pPr>
        <w:pStyle w:val="13"/>
        <w:widowControl/>
        <w:spacing w:before="40" w:beforeAutospacing="0" w:after="0" w:afterAutospacing="0" w:line="520" w:lineRule="atLeast"/>
        <w:ind w:firstLine="520"/>
        <w:jc w:val="both"/>
        <w:rPr>
          <w:rStyle w:val="17"/>
          <w:rFonts w:ascii="仿宋_GB2312" w:hAnsi="宋体" w:eastAsia="仿宋_GB2312" w:cstheme="minorBidi"/>
          <w:b w:val="0"/>
          <w:color w:val="auto"/>
          <w:spacing w:val="-4"/>
          <w:kern w:val="2"/>
          <w:sz w:val="28"/>
          <w:szCs w:val="28"/>
        </w:rPr>
      </w:pPr>
      <w:r>
        <w:rPr>
          <w:rStyle w:val="17"/>
          <w:rFonts w:hint="eastAsia" w:ascii="仿宋_GB2312" w:hAnsi="宋体" w:eastAsia="仿宋_GB2312" w:cstheme="minorBidi"/>
          <w:b w:val="0"/>
          <w:color w:val="auto"/>
          <w:spacing w:val="-4"/>
          <w:kern w:val="2"/>
          <w:sz w:val="28"/>
          <w:szCs w:val="28"/>
        </w:rPr>
        <w:t>固定资产台账未及时与账面资产金额对账且末与实物进行清点及及时清理处置报废资产导致资产台账与账面资产金额存在差异,固定资产管理继续加强中。</w:t>
      </w:r>
    </w:p>
    <w:p>
      <w:pPr>
        <w:spacing w:line="360" w:lineRule="auto"/>
      </w:pPr>
    </w:p>
    <w:p>
      <w:pPr>
        <w:pStyle w:val="2"/>
        <w:spacing w:line="360" w:lineRule="auto"/>
        <w:rPr>
          <w:rFonts w:ascii="仿宋" w:hAnsi="仿宋" w:eastAsia="仿宋"/>
          <w:sz w:val="36"/>
          <w:szCs w:val="36"/>
        </w:rPr>
      </w:pPr>
      <w:bookmarkStart w:id="29" w:name="_Toc70450318"/>
      <w:r>
        <w:rPr>
          <w:rFonts w:hint="eastAsia" w:ascii="仿宋" w:hAnsi="仿宋" w:eastAsia="仿宋"/>
          <w:sz w:val="36"/>
          <w:szCs w:val="36"/>
        </w:rPr>
        <w:t>七、改进措施和建议</w:t>
      </w:r>
      <w:bookmarkEnd w:id="29"/>
    </w:p>
    <w:p>
      <w:pPr>
        <w:pStyle w:val="4"/>
        <w:spacing w:line="360" w:lineRule="auto"/>
        <w:rPr>
          <w:rStyle w:val="17"/>
          <w:rFonts w:ascii="仿宋" w:hAnsi="仿宋" w:eastAsia="仿宋"/>
          <w:b/>
          <w:bCs/>
        </w:rPr>
      </w:pPr>
      <w:bookmarkStart w:id="30" w:name="_Toc70450319"/>
      <w:r>
        <w:rPr>
          <w:rStyle w:val="17"/>
          <w:rFonts w:hint="eastAsia" w:ascii="仿宋" w:hAnsi="仿宋" w:eastAsia="仿宋"/>
          <w:b/>
          <w:bCs/>
        </w:rPr>
        <w:t>（一）改进措施</w:t>
      </w:r>
      <w:bookmarkEnd w:id="30"/>
    </w:p>
    <w:p>
      <w:pPr>
        <w:spacing w:line="360" w:lineRule="auto"/>
        <w:ind w:firstLine="272" w:firstLineChars="1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1、加强新行政单位会计制度和新预算法学习培训、规范账务处理，加强新《预算法》、《行政单位会计制度》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pacing w:line="360" w:lineRule="auto"/>
        <w:ind w:firstLine="272" w:firstLineChars="1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2、完善管理制度,进-步加强资产管理。严格按照《固定资产管理办法》的规定，加强固定资产管理,及时登记、更新台账，加强资产卡片管理,对各类实物资产进行全面盘点,确保账账、账实相符。</w:t>
      </w:r>
    </w:p>
    <w:p>
      <w:pPr>
        <w:spacing w:line="360" w:lineRule="auto"/>
        <w:ind w:firstLine="272" w:firstLineChars="1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3、加强学习。进一步明确如何参照考核体系，科学合理设定绩效目标，充分发挥预算绩效管理工作效用。</w:t>
      </w:r>
    </w:p>
    <w:p>
      <w:pPr>
        <w:pStyle w:val="4"/>
        <w:spacing w:line="360" w:lineRule="auto"/>
        <w:rPr>
          <w:rStyle w:val="17"/>
          <w:rFonts w:ascii="仿宋" w:hAnsi="仿宋" w:eastAsia="仿宋"/>
          <w:b/>
          <w:bCs/>
        </w:rPr>
      </w:pPr>
      <w:bookmarkStart w:id="31" w:name="_Toc70450320"/>
      <w:r>
        <w:rPr>
          <w:rStyle w:val="17"/>
          <w:rFonts w:hint="eastAsia" w:ascii="仿宋" w:hAnsi="仿宋" w:eastAsia="仿宋"/>
          <w:b/>
          <w:bCs/>
        </w:rPr>
        <w:t>（二）建议</w:t>
      </w:r>
      <w:bookmarkEnd w:id="31"/>
    </w:p>
    <w:p>
      <w:pPr>
        <w:pStyle w:val="13"/>
        <w:widowControl/>
        <w:spacing w:before="40" w:beforeAutospacing="0" w:after="0" w:afterAutospacing="0" w:line="520" w:lineRule="atLeast"/>
        <w:ind w:firstLine="544" w:firstLineChars="200"/>
        <w:jc w:val="both"/>
        <w:rPr>
          <w:rStyle w:val="17"/>
          <w:rFonts w:ascii="仿宋_GB2312" w:hAnsi="宋体" w:eastAsia="仿宋_GB2312" w:cstheme="minorBidi"/>
          <w:b w:val="0"/>
          <w:color w:val="auto"/>
          <w:spacing w:val="-4"/>
          <w:kern w:val="2"/>
          <w:sz w:val="28"/>
          <w:szCs w:val="28"/>
        </w:rPr>
      </w:pPr>
      <w:r>
        <w:rPr>
          <w:rStyle w:val="17"/>
          <w:rFonts w:hint="eastAsia" w:ascii="仿宋_GB2312" w:hAnsi="宋体" w:eastAsia="仿宋_GB2312" w:cstheme="minorBidi"/>
          <w:b w:val="0"/>
          <w:color w:val="auto"/>
          <w:spacing w:val="-4"/>
          <w:kern w:val="2"/>
          <w:sz w:val="28"/>
          <w:szCs w:val="28"/>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rPr>
          <w:rStyle w:val="17"/>
          <w:rFonts w:ascii="仿宋_GB2312" w:hAnsi="宋体" w:eastAsia="仿宋_GB2312"/>
          <w:spacing w:val="-4"/>
          <w:sz w:val="28"/>
          <w:szCs w:val="28"/>
        </w:rPr>
      </w:pPr>
    </w:p>
    <w:p>
      <w:pPr>
        <w:pStyle w:val="2"/>
        <w:spacing w:line="360" w:lineRule="auto"/>
        <w:rPr>
          <w:rStyle w:val="17"/>
          <w:rFonts w:ascii="仿宋" w:hAnsi="仿宋" w:eastAsia="仿宋"/>
          <w:b/>
          <w:bCs/>
          <w:sz w:val="36"/>
          <w:szCs w:val="36"/>
        </w:rPr>
      </w:pPr>
      <w:bookmarkStart w:id="32" w:name="_Toc70450321"/>
      <w:r>
        <w:rPr>
          <w:rStyle w:val="17"/>
          <w:rFonts w:hint="eastAsia" w:ascii="仿宋" w:hAnsi="仿宋" w:eastAsia="仿宋"/>
          <w:b/>
          <w:bCs/>
          <w:sz w:val="36"/>
          <w:szCs w:val="36"/>
        </w:rPr>
        <w:t>八、附表</w:t>
      </w:r>
      <w:r>
        <w:rPr>
          <w:rStyle w:val="17"/>
          <w:rFonts w:hint="eastAsia" w:ascii="仿宋" w:hAnsi="仿宋" w:eastAsia="仿宋"/>
          <w:b w:val="0"/>
          <w:bCs w:val="0"/>
          <w:spacing w:val="-4"/>
          <w:sz w:val="36"/>
          <w:szCs w:val="36"/>
        </w:rPr>
        <w:t>：</w:t>
      </w:r>
      <w:bookmarkStart w:id="33" w:name="_Hlk70450148"/>
      <w:r>
        <w:rPr>
          <w:rStyle w:val="17"/>
          <w:rFonts w:hint="eastAsia" w:ascii="仿宋" w:hAnsi="仿宋" w:eastAsia="仿宋"/>
          <w:b/>
          <w:bCs/>
          <w:sz w:val="36"/>
          <w:szCs w:val="36"/>
        </w:rPr>
        <w:t>《部门整体支出绩效目标自评表》</w:t>
      </w:r>
      <w:bookmarkEnd w:id="32"/>
      <w:bookmarkEnd w:id="33"/>
    </w:p>
    <w:p>
      <w:r>
        <w:br w:type="page"/>
      </w:r>
    </w:p>
    <w:tbl>
      <w:tblPr>
        <w:tblStyle w:val="15"/>
        <w:tblW w:w="0" w:type="auto"/>
        <w:tblInd w:w="93" w:type="dxa"/>
        <w:tblLayout w:type="autofit"/>
        <w:tblCellMar>
          <w:top w:w="0" w:type="dxa"/>
          <w:left w:w="108" w:type="dxa"/>
          <w:bottom w:w="0" w:type="dxa"/>
          <w:right w:w="108" w:type="dxa"/>
        </w:tblCellMar>
      </w:tblPr>
      <w:tblGrid>
        <w:gridCol w:w="688"/>
        <w:gridCol w:w="1033"/>
        <w:gridCol w:w="1529"/>
        <w:gridCol w:w="926"/>
        <w:gridCol w:w="926"/>
        <w:gridCol w:w="737"/>
        <w:gridCol w:w="926"/>
        <w:gridCol w:w="462"/>
        <w:gridCol w:w="464"/>
        <w:gridCol w:w="738"/>
      </w:tblGrid>
      <w:tr>
        <w:tblPrEx>
          <w:tblCellMar>
            <w:top w:w="0" w:type="dxa"/>
            <w:left w:w="108" w:type="dxa"/>
            <w:bottom w:w="0" w:type="dxa"/>
            <w:right w:w="108" w:type="dxa"/>
          </w:tblCellMar>
        </w:tblPrEx>
        <w:trPr>
          <w:trHeight w:val="405" w:hRule="atLeast"/>
        </w:trPr>
        <w:tc>
          <w:tcPr>
            <w:tcW w:w="842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CellMar>
            <w:top w:w="0" w:type="dxa"/>
            <w:left w:w="108" w:type="dxa"/>
            <w:bottom w:w="0" w:type="dxa"/>
            <w:right w:w="108" w:type="dxa"/>
          </w:tblCellMar>
        </w:tblPrEx>
        <w:trPr>
          <w:trHeight w:val="285" w:hRule="atLeast"/>
        </w:trPr>
        <w:tc>
          <w:tcPr>
            <w:tcW w:w="842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tblPrEx>
          <w:tblCellMar>
            <w:top w:w="0" w:type="dxa"/>
            <w:left w:w="108" w:type="dxa"/>
            <w:bottom w:w="0" w:type="dxa"/>
            <w:right w:w="108" w:type="dxa"/>
          </w:tblCellMar>
        </w:tblPrEx>
        <w:trPr>
          <w:trHeight w:val="285" w:hRule="atLeast"/>
        </w:trPr>
        <w:tc>
          <w:tcPr>
            <w:tcW w:w="1741"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688"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特克斯县供销合作社联合社</w:t>
            </w:r>
          </w:p>
        </w:tc>
      </w:tr>
      <w:tr>
        <w:tblPrEx>
          <w:tblCellMar>
            <w:top w:w="0" w:type="dxa"/>
            <w:left w:w="108" w:type="dxa"/>
            <w:bottom w:w="0" w:type="dxa"/>
            <w:right w:w="108" w:type="dxa"/>
          </w:tblCellMar>
        </w:tblPrEx>
        <w:trPr>
          <w:trHeight w:val="285" w:hRule="atLeast"/>
        </w:trPr>
        <w:tc>
          <w:tcPr>
            <w:tcW w:w="696"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045"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任务名称</w:t>
            </w:r>
          </w:p>
        </w:tc>
        <w:tc>
          <w:tcPr>
            <w:tcW w:w="1548"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主要内容</w:t>
            </w:r>
          </w:p>
        </w:tc>
        <w:tc>
          <w:tcPr>
            <w:tcW w:w="257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预算金额（万元）</w:t>
            </w:r>
          </w:p>
        </w:tc>
        <w:tc>
          <w:tcPr>
            <w:tcW w:w="257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实际执行（万元）</w:t>
            </w:r>
          </w:p>
        </w:tc>
      </w:tr>
      <w:tr>
        <w:tblPrEx>
          <w:tblCellMar>
            <w:top w:w="0" w:type="dxa"/>
            <w:left w:w="108" w:type="dxa"/>
            <w:bottom w:w="0" w:type="dxa"/>
            <w:right w:w="108" w:type="dxa"/>
          </w:tblCellMar>
        </w:tblPrEx>
        <w:trPr>
          <w:trHeight w:val="285" w:hRule="atLeast"/>
        </w:trPr>
        <w:tc>
          <w:tcPr>
            <w:tcW w:w="696"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4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1548"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91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91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财政拨款</w:t>
            </w:r>
          </w:p>
        </w:tc>
        <w:tc>
          <w:tcPr>
            <w:tcW w:w="74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c>
          <w:tcPr>
            <w:tcW w:w="91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912"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74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CellMar>
            <w:top w:w="0" w:type="dxa"/>
            <w:left w:w="108" w:type="dxa"/>
            <w:bottom w:w="0" w:type="dxa"/>
            <w:right w:w="108" w:type="dxa"/>
          </w:tblCellMar>
        </w:tblPrEx>
        <w:trPr>
          <w:trHeight w:val="285" w:hRule="atLeast"/>
        </w:trPr>
        <w:tc>
          <w:tcPr>
            <w:tcW w:w="69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5"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w:t>
            </w:r>
          </w:p>
        </w:tc>
        <w:tc>
          <w:tcPr>
            <w:tcW w:w="15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用于保障部门单位人员发放工资福利支出及对个人和家庭补助</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118.54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118.54 </w:t>
            </w:r>
          </w:p>
        </w:tc>
        <w:tc>
          <w:tcPr>
            <w:tcW w:w="74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118.54 </w:t>
            </w:r>
          </w:p>
        </w:tc>
        <w:tc>
          <w:tcPr>
            <w:tcW w:w="91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118.54 </w:t>
            </w:r>
          </w:p>
        </w:tc>
        <w:tc>
          <w:tcPr>
            <w:tcW w:w="7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69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5"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after="200" w:afterAutospacing="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运转保障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br w:type="textWrapping"/>
            </w:r>
          </w:p>
        </w:tc>
        <w:tc>
          <w:tcPr>
            <w:tcW w:w="1548" w:type="dxa"/>
            <w:tcBorders>
              <w:top w:val="nil"/>
              <w:left w:val="nil"/>
              <w:bottom w:val="single" w:color="auto" w:sz="4" w:space="0"/>
              <w:right w:val="nil"/>
            </w:tcBorders>
            <w:shd w:val="clear" w:color="auto" w:fill="auto"/>
            <w:vAlign w:val="center"/>
          </w:tcPr>
          <w:p>
            <w:pPr>
              <w:keepNext w:val="0"/>
              <w:keepLines w:val="0"/>
              <w:widowControl/>
              <w:suppressLineNumbers w:val="0"/>
              <w:spacing w:after="200" w:afterAutospacing="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用于日常办公费、取暖费、三公经费、工会经费、福利费及其它商品和服务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br w:type="textWrapping"/>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4.10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4.10 </w:t>
            </w:r>
          </w:p>
        </w:tc>
        <w:tc>
          <w:tcPr>
            <w:tcW w:w="74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4.10 </w:t>
            </w:r>
          </w:p>
        </w:tc>
        <w:tc>
          <w:tcPr>
            <w:tcW w:w="91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4.10 </w:t>
            </w:r>
          </w:p>
        </w:tc>
        <w:tc>
          <w:tcPr>
            <w:tcW w:w="7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69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593"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金额合计</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122.64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122.64 </w:t>
            </w:r>
          </w:p>
        </w:tc>
        <w:tc>
          <w:tcPr>
            <w:tcW w:w="74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0.00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122.64 </w:t>
            </w:r>
          </w:p>
        </w:tc>
        <w:tc>
          <w:tcPr>
            <w:tcW w:w="91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 xml:space="preserve">122.64 </w:t>
            </w:r>
          </w:p>
        </w:tc>
        <w:tc>
          <w:tcPr>
            <w:tcW w:w="7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696"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506"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预期目标</w:t>
            </w:r>
          </w:p>
        </w:tc>
        <w:tc>
          <w:tcPr>
            <w:tcW w:w="4227"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CellMar>
            <w:top w:w="0" w:type="dxa"/>
            <w:left w:w="108" w:type="dxa"/>
            <w:bottom w:w="0" w:type="dxa"/>
            <w:right w:w="108" w:type="dxa"/>
          </w:tblCellMar>
        </w:tblPrEx>
        <w:trPr>
          <w:trHeight w:val="285" w:hRule="atLeast"/>
        </w:trPr>
        <w:tc>
          <w:tcPr>
            <w:tcW w:w="69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3506"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目标1：保证单位财政供养人员基本工资、津贴补贴、艰边补助预算的收支。                                            目标2：保证单位工作正常开展和各项任务顺利完成。                                                          目标3：计划改造升级薄弱基层社1个，创建标杆基层社1个，新建村级基层社1个。                                                                          目标4：计划新建综合服务社2个，新建农业生产服务中心1个。  </w:t>
            </w:r>
          </w:p>
        </w:tc>
        <w:tc>
          <w:tcPr>
            <w:tcW w:w="4227"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目标1：保证单位财政供养人员基本工资、津贴补贴、艰边补助预算的收支。                                                            目标2：保证单位工作正常开展和各项任务顺利完成。                                                          目标3：改造升级薄弱基层社1个，创建标杆基层社1个，新建村级基层社1个。                                                                          目标4：新建综合服务社2个，新建农业生产服务中心1个。  </w:t>
            </w:r>
          </w:p>
        </w:tc>
      </w:tr>
      <w:tr>
        <w:tblPrEx>
          <w:tblCellMar>
            <w:top w:w="0" w:type="dxa"/>
            <w:left w:w="108" w:type="dxa"/>
            <w:bottom w:w="0" w:type="dxa"/>
            <w:right w:w="108" w:type="dxa"/>
          </w:tblCellMar>
        </w:tblPrEx>
        <w:trPr>
          <w:trHeight w:val="285" w:hRule="atLeast"/>
        </w:trPr>
        <w:tc>
          <w:tcPr>
            <w:tcW w:w="696"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045"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一级指标</w:t>
            </w:r>
          </w:p>
        </w:tc>
        <w:tc>
          <w:tcPr>
            <w:tcW w:w="1548"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二级指标</w:t>
            </w:r>
          </w:p>
        </w:tc>
        <w:tc>
          <w:tcPr>
            <w:tcW w:w="2570"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三级指标</w:t>
            </w:r>
          </w:p>
        </w:tc>
        <w:tc>
          <w:tcPr>
            <w:tcW w:w="136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20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CellMar>
            <w:top w:w="0" w:type="dxa"/>
            <w:left w:w="108" w:type="dxa"/>
            <w:bottom w:w="0" w:type="dxa"/>
            <w:right w:w="108" w:type="dxa"/>
          </w:tblCellMar>
        </w:tblPrEx>
        <w:trPr>
          <w:trHeight w:val="285" w:hRule="atLeast"/>
        </w:trPr>
        <w:tc>
          <w:tcPr>
            <w:tcW w:w="69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5" w:type="dxa"/>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产出指标</w:t>
            </w:r>
          </w:p>
        </w:tc>
        <w:tc>
          <w:tcPr>
            <w:tcW w:w="1548"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数量指标</w:t>
            </w:r>
          </w:p>
        </w:tc>
        <w:tc>
          <w:tcPr>
            <w:tcW w:w="2570"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　保障供销社机关干部职工及离退休人数 </w:t>
            </w:r>
          </w:p>
        </w:tc>
        <w:tc>
          <w:tcPr>
            <w:tcW w:w="136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 xml:space="preserve">≥16人　 </w:t>
            </w:r>
          </w:p>
        </w:tc>
        <w:tc>
          <w:tcPr>
            <w:tcW w:w="120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16人　</w:t>
            </w:r>
          </w:p>
        </w:tc>
      </w:tr>
      <w:tr>
        <w:tblPrEx>
          <w:tblCellMar>
            <w:top w:w="0" w:type="dxa"/>
            <w:left w:w="108" w:type="dxa"/>
            <w:bottom w:w="0" w:type="dxa"/>
            <w:right w:w="108" w:type="dxa"/>
          </w:tblCellMar>
        </w:tblPrEx>
        <w:trPr>
          <w:trHeight w:val="285" w:hRule="atLeast"/>
        </w:trPr>
        <w:tc>
          <w:tcPr>
            <w:tcW w:w="696"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45" w:type="dxa"/>
            <w:vMerge w:val="continue"/>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kern w:val="0"/>
                <w:sz w:val="24"/>
              </w:rPr>
            </w:pPr>
          </w:p>
        </w:tc>
        <w:tc>
          <w:tcPr>
            <w:tcW w:w="154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kern w:val="0"/>
                <w:sz w:val="24"/>
              </w:rPr>
            </w:pPr>
          </w:p>
        </w:tc>
        <w:tc>
          <w:tcPr>
            <w:tcW w:w="2570"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工资及社保发放次数</w:t>
            </w:r>
          </w:p>
        </w:tc>
        <w:tc>
          <w:tcPr>
            <w:tcW w:w="136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≥12次　</w:t>
            </w:r>
          </w:p>
        </w:tc>
        <w:tc>
          <w:tcPr>
            <w:tcW w:w="120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12次　</w:t>
            </w:r>
          </w:p>
        </w:tc>
      </w:tr>
      <w:tr>
        <w:tblPrEx>
          <w:tblCellMar>
            <w:top w:w="0" w:type="dxa"/>
            <w:left w:w="108" w:type="dxa"/>
            <w:bottom w:w="0" w:type="dxa"/>
            <w:right w:w="108" w:type="dxa"/>
          </w:tblCellMar>
        </w:tblPrEx>
        <w:trPr>
          <w:trHeight w:val="2070" w:hRule="atLeast"/>
        </w:trPr>
        <w:tc>
          <w:tcPr>
            <w:tcW w:w="696"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45" w:type="dxa"/>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548"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质量指标</w:t>
            </w:r>
          </w:p>
        </w:tc>
        <w:tc>
          <w:tcPr>
            <w:tcW w:w="257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工资及公用经费保障率</w:t>
            </w:r>
          </w:p>
        </w:tc>
        <w:tc>
          <w:tcPr>
            <w:tcW w:w="1368"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≥98%　</w:t>
            </w:r>
          </w:p>
        </w:tc>
        <w:tc>
          <w:tcPr>
            <w:tcW w:w="120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98%</w:t>
            </w:r>
          </w:p>
        </w:tc>
      </w:tr>
      <w:tr>
        <w:tblPrEx>
          <w:tblCellMar>
            <w:top w:w="0" w:type="dxa"/>
            <w:left w:w="108" w:type="dxa"/>
            <w:bottom w:w="0" w:type="dxa"/>
            <w:right w:w="108" w:type="dxa"/>
          </w:tblCellMar>
        </w:tblPrEx>
        <w:trPr>
          <w:trHeight w:val="885" w:hRule="atLeast"/>
        </w:trPr>
        <w:tc>
          <w:tcPr>
            <w:tcW w:w="696"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45" w:type="dxa"/>
            <w:vMerge w:val="continue"/>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548"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kern w:val="0"/>
                <w:sz w:val="24"/>
              </w:rPr>
            </w:pPr>
          </w:p>
        </w:tc>
        <w:tc>
          <w:tcPr>
            <w:tcW w:w="257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4"/>
              </w:rPr>
            </w:pPr>
            <w:r>
              <w:rPr>
                <w:rFonts w:hint="eastAsia" w:ascii="宋体" w:hAnsi="宋体" w:eastAsia="宋体" w:cs="宋体"/>
                <w:i w:val="0"/>
                <w:iCs w:val="0"/>
                <w:color w:val="000000"/>
                <w:kern w:val="0"/>
                <w:sz w:val="20"/>
                <w:szCs w:val="20"/>
                <w:u w:val="none"/>
                <w:lang w:val="en-US" w:eastAsia="zh-CN" w:bidi="ar"/>
              </w:rPr>
              <w:t>　基层社进行升级改造合格率</w:t>
            </w:r>
          </w:p>
        </w:tc>
        <w:tc>
          <w:tcPr>
            <w:tcW w:w="1368"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　≥98%</w:t>
            </w:r>
          </w:p>
        </w:tc>
        <w:tc>
          <w:tcPr>
            <w:tcW w:w="120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98%</w:t>
            </w:r>
          </w:p>
        </w:tc>
      </w:tr>
      <w:tr>
        <w:tblPrEx>
          <w:tblCellMar>
            <w:top w:w="0" w:type="dxa"/>
            <w:left w:w="108" w:type="dxa"/>
            <w:bottom w:w="0" w:type="dxa"/>
            <w:right w:w="108" w:type="dxa"/>
          </w:tblCellMar>
        </w:tblPrEx>
        <w:trPr>
          <w:trHeight w:val="285" w:hRule="atLeast"/>
        </w:trPr>
        <w:tc>
          <w:tcPr>
            <w:tcW w:w="69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548"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时效指标</w:t>
            </w:r>
          </w:p>
        </w:tc>
        <w:tc>
          <w:tcPr>
            <w:tcW w:w="2570"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工资及社保发放及时性</w:t>
            </w:r>
          </w:p>
        </w:tc>
        <w:tc>
          <w:tcPr>
            <w:tcW w:w="136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　≥98%　</w:t>
            </w:r>
          </w:p>
        </w:tc>
        <w:tc>
          <w:tcPr>
            <w:tcW w:w="12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98%</w:t>
            </w:r>
          </w:p>
        </w:tc>
      </w:tr>
      <w:tr>
        <w:tblPrEx>
          <w:tblCellMar>
            <w:top w:w="0" w:type="dxa"/>
            <w:left w:w="108" w:type="dxa"/>
            <w:bottom w:w="0" w:type="dxa"/>
            <w:right w:w="108" w:type="dxa"/>
          </w:tblCellMar>
        </w:tblPrEx>
        <w:trPr>
          <w:trHeight w:val="285" w:hRule="atLeast"/>
        </w:trPr>
        <w:tc>
          <w:tcPr>
            <w:tcW w:w="69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8"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成本指标</w:t>
            </w:r>
          </w:p>
        </w:tc>
        <w:tc>
          <w:tcPr>
            <w:tcW w:w="2570"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人均支出标准</w:t>
            </w:r>
          </w:p>
        </w:tc>
        <w:tc>
          <w:tcPr>
            <w:tcW w:w="136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≤10.77万元/每人　</w:t>
            </w:r>
          </w:p>
        </w:tc>
        <w:tc>
          <w:tcPr>
            <w:tcW w:w="12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10.77万元/每人　</w:t>
            </w:r>
          </w:p>
        </w:tc>
      </w:tr>
      <w:tr>
        <w:tblPrEx>
          <w:tblCellMar>
            <w:top w:w="0" w:type="dxa"/>
            <w:left w:w="108" w:type="dxa"/>
            <w:bottom w:w="0" w:type="dxa"/>
            <w:right w:w="108" w:type="dxa"/>
          </w:tblCellMar>
        </w:tblPrEx>
        <w:trPr>
          <w:trHeight w:val="285" w:hRule="atLeast"/>
        </w:trPr>
        <w:tc>
          <w:tcPr>
            <w:tcW w:w="69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8"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2570"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人均运转经费数</w:t>
            </w:r>
          </w:p>
        </w:tc>
        <w:tc>
          <w:tcPr>
            <w:tcW w:w="136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≤0.37万元/每人　</w:t>
            </w:r>
          </w:p>
        </w:tc>
        <w:tc>
          <w:tcPr>
            <w:tcW w:w="12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0.37万元/每人　</w:t>
            </w:r>
          </w:p>
        </w:tc>
      </w:tr>
      <w:tr>
        <w:tblPrEx>
          <w:tblCellMar>
            <w:top w:w="0" w:type="dxa"/>
            <w:left w:w="108" w:type="dxa"/>
            <w:bottom w:w="0" w:type="dxa"/>
            <w:right w:w="108" w:type="dxa"/>
          </w:tblCellMar>
        </w:tblPrEx>
        <w:trPr>
          <w:trHeight w:val="285" w:hRule="atLeast"/>
        </w:trPr>
        <w:tc>
          <w:tcPr>
            <w:tcW w:w="69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5"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效益指标</w:t>
            </w:r>
          </w:p>
        </w:tc>
        <w:tc>
          <w:tcPr>
            <w:tcW w:w="1548"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经济效益指标</w:t>
            </w:r>
          </w:p>
        </w:tc>
        <w:tc>
          <w:tcPr>
            <w:tcW w:w="2570"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县供销社全系统实现销售总额</w:t>
            </w:r>
          </w:p>
        </w:tc>
        <w:tc>
          <w:tcPr>
            <w:tcW w:w="136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≥8220万元　</w:t>
            </w:r>
          </w:p>
        </w:tc>
        <w:tc>
          <w:tcPr>
            <w:tcW w:w="12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8220万元　</w:t>
            </w:r>
          </w:p>
        </w:tc>
      </w:tr>
      <w:tr>
        <w:tblPrEx>
          <w:tblCellMar>
            <w:top w:w="0" w:type="dxa"/>
            <w:left w:w="108" w:type="dxa"/>
            <w:bottom w:w="0" w:type="dxa"/>
            <w:right w:w="108" w:type="dxa"/>
          </w:tblCellMar>
        </w:tblPrEx>
        <w:trPr>
          <w:trHeight w:val="285" w:hRule="atLeast"/>
        </w:trPr>
        <w:tc>
          <w:tcPr>
            <w:tcW w:w="69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8"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社会效益指标</w:t>
            </w:r>
          </w:p>
        </w:tc>
        <w:tc>
          <w:tcPr>
            <w:tcW w:w="2570"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提高农民专业合作社规模效益</w:t>
            </w:r>
          </w:p>
        </w:tc>
        <w:tc>
          <w:tcPr>
            <w:tcW w:w="136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有效提高　</w:t>
            </w:r>
          </w:p>
        </w:tc>
        <w:tc>
          <w:tcPr>
            <w:tcW w:w="12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有效提高　</w:t>
            </w:r>
          </w:p>
        </w:tc>
      </w:tr>
      <w:tr>
        <w:tblPrEx>
          <w:tblCellMar>
            <w:top w:w="0" w:type="dxa"/>
            <w:left w:w="108" w:type="dxa"/>
            <w:bottom w:w="0" w:type="dxa"/>
            <w:right w:w="108" w:type="dxa"/>
          </w:tblCellMar>
        </w:tblPrEx>
        <w:trPr>
          <w:trHeight w:val="285" w:hRule="atLeast"/>
        </w:trPr>
        <w:tc>
          <w:tcPr>
            <w:tcW w:w="69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8"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2570"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保障部门业务顺利开展</w:t>
            </w:r>
          </w:p>
        </w:tc>
        <w:tc>
          <w:tcPr>
            <w:tcW w:w="136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有效保障</w:t>
            </w:r>
          </w:p>
        </w:tc>
        <w:tc>
          <w:tcPr>
            <w:tcW w:w="12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有效保障</w:t>
            </w:r>
          </w:p>
        </w:tc>
      </w:tr>
      <w:tr>
        <w:tblPrEx>
          <w:tblCellMar>
            <w:top w:w="0" w:type="dxa"/>
            <w:left w:w="108" w:type="dxa"/>
            <w:bottom w:w="0" w:type="dxa"/>
            <w:right w:w="108" w:type="dxa"/>
          </w:tblCellMar>
        </w:tblPrEx>
        <w:trPr>
          <w:trHeight w:val="285" w:hRule="atLeast"/>
        </w:trPr>
        <w:tc>
          <w:tcPr>
            <w:tcW w:w="69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8"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570"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加快供销社系统服务体系建设</w:t>
            </w:r>
          </w:p>
        </w:tc>
        <w:tc>
          <w:tcPr>
            <w:tcW w:w="136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有效加快</w:t>
            </w:r>
          </w:p>
        </w:tc>
        <w:tc>
          <w:tcPr>
            <w:tcW w:w="12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有效加快</w:t>
            </w:r>
          </w:p>
        </w:tc>
      </w:tr>
      <w:tr>
        <w:tblPrEx>
          <w:tblCellMar>
            <w:top w:w="0" w:type="dxa"/>
            <w:left w:w="108" w:type="dxa"/>
            <w:bottom w:w="0" w:type="dxa"/>
            <w:right w:w="108" w:type="dxa"/>
          </w:tblCellMar>
        </w:tblPrEx>
        <w:trPr>
          <w:trHeight w:val="285" w:hRule="atLeast"/>
        </w:trPr>
        <w:tc>
          <w:tcPr>
            <w:tcW w:w="69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5"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1548"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2570"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享受惠民政策群众满意度　</w:t>
            </w:r>
          </w:p>
        </w:tc>
        <w:tc>
          <w:tcPr>
            <w:tcW w:w="136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≥95%</w:t>
            </w:r>
          </w:p>
        </w:tc>
        <w:tc>
          <w:tcPr>
            <w:tcW w:w="12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95%</w:t>
            </w:r>
          </w:p>
        </w:tc>
      </w:tr>
      <w:tr>
        <w:tblPrEx>
          <w:tblCellMar>
            <w:top w:w="0" w:type="dxa"/>
            <w:left w:w="108" w:type="dxa"/>
            <w:bottom w:w="0" w:type="dxa"/>
            <w:right w:w="108" w:type="dxa"/>
          </w:tblCellMar>
        </w:tblPrEx>
        <w:trPr>
          <w:trHeight w:val="285" w:hRule="atLeast"/>
        </w:trPr>
        <w:tc>
          <w:tcPr>
            <w:tcW w:w="69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8"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2570"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干部职工满意度</w:t>
            </w:r>
          </w:p>
        </w:tc>
        <w:tc>
          <w:tcPr>
            <w:tcW w:w="136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≥95%</w:t>
            </w:r>
          </w:p>
        </w:tc>
        <w:tc>
          <w:tcPr>
            <w:tcW w:w="1202"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95%</w:t>
            </w:r>
          </w:p>
        </w:tc>
      </w:tr>
    </w:tbl>
    <w:p>
      <w:pPr>
        <w:rPr>
          <w:rFonts w:ascii="仿宋" w:hAnsi="仿宋" w:eastAsia="仿宋" w:cs="宋体"/>
          <w:color w:val="333333"/>
          <w:sz w:val="32"/>
          <w:szCs w:val="32"/>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4 -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1F1B0A"/>
    <w:multiLevelType w:val="singleLevel"/>
    <w:tmpl w:val="E41F1B0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633862"/>
    <w:rsid w:val="000150D9"/>
    <w:rsid w:val="00025A44"/>
    <w:rsid w:val="0004366F"/>
    <w:rsid w:val="00070EEB"/>
    <w:rsid w:val="00072084"/>
    <w:rsid w:val="000864FD"/>
    <w:rsid w:val="0009422A"/>
    <w:rsid w:val="000B6B13"/>
    <w:rsid w:val="000D1DEE"/>
    <w:rsid w:val="000D3AFA"/>
    <w:rsid w:val="00105D60"/>
    <w:rsid w:val="001062E1"/>
    <w:rsid w:val="001121F2"/>
    <w:rsid w:val="00112859"/>
    <w:rsid w:val="001173EB"/>
    <w:rsid w:val="00134C3E"/>
    <w:rsid w:val="00150C4C"/>
    <w:rsid w:val="00170BCD"/>
    <w:rsid w:val="00191BA3"/>
    <w:rsid w:val="001A2299"/>
    <w:rsid w:val="001A3A0E"/>
    <w:rsid w:val="001C2C09"/>
    <w:rsid w:val="001C7896"/>
    <w:rsid w:val="001E226B"/>
    <w:rsid w:val="001F630E"/>
    <w:rsid w:val="00215358"/>
    <w:rsid w:val="0022744B"/>
    <w:rsid w:val="00234372"/>
    <w:rsid w:val="00234B37"/>
    <w:rsid w:val="00246941"/>
    <w:rsid w:val="00247593"/>
    <w:rsid w:val="002764C7"/>
    <w:rsid w:val="002C0AD9"/>
    <w:rsid w:val="002D075E"/>
    <w:rsid w:val="00303A08"/>
    <w:rsid w:val="003226C4"/>
    <w:rsid w:val="0037488A"/>
    <w:rsid w:val="003A7B11"/>
    <w:rsid w:val="003E3DEF"/>
    <w:rsid w:val="003E7C70"/>
    <w:rsid w:val="00412FFA"/>
    <w:rsid w:val="00423B7D"/>
    <w:rsid w:val="00432C06"/>
    <w:rsid w:val="0049337C"/>
    <w:rsid w:val="004C4C4D"/>
    <w:rsid w:val="004C6FF3"/>
    <w:rsid w:val="004E69F5"/>
    <w:rsid w:val="004E7AAC"/>
    <w:rsid w:val="00506FAA"/>
    <w:rsid w:val="00531A31"/>
    <w:rsid w:val="00533C6C"/>
    <w:rsid w:val="00544679"/>
    <w:rsid w:val="00567DF2"/>
    <w:rsid w:val="00574D90"/>
    <w:rsid w:val="00593943"/>
    <w:rsid w:val="005A08A8"/>
    <w:rsid w:val="005B1250"/>
    <w:rsid w:val="005B3EAA"/>
    <w:rsid w:val="005C33CE"/>
    <w:rsid w:val="006225D7"/>
    <w:rsid w:val="00633862"/>
    <w:rsid w:val="006379B7"/>
    <w:rsid w:val="006413B6"/>
    <w:rsid w:val="006910A7"/>
    <w:rsid w:val="00691310"/>
    <w:rsid w:val="006A7181"/>
    <w:rsid w:val="006C43ED"/>
    <w:rsid w:val="006C5BED"/>
    <w:rsid w:val="006D3947"/>
    <w:rsid w:val="006D55BB"/>
    <w:rsid w:val="00702D4A"/>
    <w:rsid w:val="007115C8"/>
    <w:rsid w:val="00713ADC"/>
    <w:rsid w:val="00725B9A"/>
    <w:rsid w:val="00754721"/>
    <w:rsid w:val="007713F8"/>
    <w:rsid w:val="007A7491"/>
    <w:rsid w:val="007A7874"/>
    <w:rsid w:val="00800784"/>
    <w:rsid w:val="00817432"/>
    <w:rsid w:val="008614D8"/>
    <w:rsid w:val="0087443E"/>
    <w:rsid w:val="00875327"/>
    <w:rsid w:val="00886879"/>
    <w:rsid w:val="00890FC2"/>
    <w:rsid w:val="008A1FB8"/>
    <w:rsid w:val="008D40AF"/>
    <w:rsid w:val="008E3F8A"/>
    <w:rsid w:val="00911026"/>
    <w:rsid w:val="00923468"/>
    <w:rsid w:val="00944A2F"/>
    <w:rsid w:val="00952782"/>
    <w:rsid w:val="0095580D"/>
    <w:rsid w:val="0097614B"/>
    <w:rsid w:val="00992D45"/>
    <w:rsid w:val="009A1625"/>
    <w:rsid w:val="009E0A8C"/>
    <w:rsid w:val="009E5FF8"/>
    <w:rsid w:val="009F06F4"/>
    <w:rsid w:val="00A05135"/>
    <w:rsid w:val="00A43D21"/>
    <w:rsid w:val="00A55238"/>
    <w:rsid w:val="00A85DBA"/>
    <w:rsid w:val="00AA200B"/>
    <w:rsid w:val="00AA5126"/>
    <w:rsid w:val="00AC4471"/>
    <w:rsid w:val="00AD16CD"/>
    <w:rsid w:val="00AF42EB"/>
    <w:rsid w:val="00B130FE"/>
    <w:rsid w:val="00B20E70"/>
    <w:rsid w:val="00B34A48"/>
    <w:rsid w:val="00B407C3"/>
    <w:rsid w:val="00B666A1"/>
    <w:rsid w:val="00B911BB"/>
    <w:rsid w:val="00BA1454"/>
    <w:rsid w:val="00BC6E01"/>
    <w:rsid w:val="00C24146"/>
    <w:rsid w:val="00C36CBC"/>
    <w:rsid w:val="00C42609"/>
    <w:rsid w:val="00C4673D"/>
    <w:rsid w:val="00C72743"/>
    <w:rsid w:val="00C76454"/>
    <w:rsid w:val="00C81F75"/>
    <w:rsid w:val="00CA5B53"/>
    <w:rsid w:val="00CB1C9D"/>
    <w:rsid w:val="00CC7606"/>
    <w:rsid w:val="00CD2F35"/>
    <w:rsid w:val="00CE16E7"/>
    <w:rsid w:val="00CE61DB"/>
    <w:rsid w:val="00CF2094"/>
    <w:rsid w:val="00CF2344"/>
    <w:rsid w:val="00D12BE4"/>
    <w:rsid w:val="00D26F3D"/>
    <w:rsid w:val="00D278CF"/>
    <w:rsid w:val="00D34232"/>
    <w:rsid w:val="00D77626"/>
    <w:rsid w:val="00D81EE2"/>
    <w:rsid w:val="00D8721C"/>
    <w:rsid w:val="00DA1BD4"/>
    <w:rsid w:val="00DA67B8"/>
    <w:rsid w:val="00DB1085"/>
    <w:rsid w:val="00DD223C"/>
    <w:rsid w:val="00E213C7"/>
    <w:rsid w:val="00E37C84"/>
    <w:rsid w:val="00E41A31"/>
    <w:rsid w:val="00E7188B"/>
    <w:rsid w:val="00F006BD"/>
    <w:rsid w:val="00F17550"/>
    <w:rsid w:val="00F27120"/>
    <w:rsid w:val="00F341E0"/>
    <w:rsid w:val="00F36401"/>
    <w:rsid w:val="00F42445"/>
    <w:rsid w:val="00F44FCC"/>
    <w:rsid w:val="00F74974"/>
    <w:rsid w:val="00F829DE"/>
    <w:rsid w:val="00F84215"/>
    <w:rsid w:val="00F91CBB"/>
    <w:rsid w:val="00FB08E3"/>
    <w:rsid w:val="00FE5B8E"/>
    <w:rsid w:val="057B2C5B"/>
    <w:rsid w:val="08F361F7"/>
    <w:rsid w:val="0E9A5E97"/>
    <w:rsid w:val="16767EE2"/>
    <w:rsid w:val="1EB60E4D"/>
    <w:rsid w:val="5D1158E0"/>
    <w:rsid w:val="603A1480"/>
    <w:rsid w:val="727377DD"/>
    <w:rsid w:val="7891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4"/>
    <w:qFormat/>
    <w:uiPriority w:val="11"/>
    <w:pPr>
      <w:spacing w:before="240" w:after="60" w:line="312" w:lineRule="auto"/>
      <w:jc w:val="center"/>
      <w:outlineLvl w:val="1"/>
    </w:pPr>
    <w:rPr>
      <w:b/>
      <w:bCs/>
      <w:kern w:val="28"/>
      <w:sz w:val="32"/>
      <w:szCs w:val="32"/>
    </w:rPr>
  </w:style>
  <w:style w:type="paragraph" w:styleId="11">
    <w:name w:val="footnote text"/>
    <w:basedOn w:val="1"/>
    <w:semiHidden/>
    <w:unhideWhenUsed/>
    <w:qFormat/>
    <w:uiPriority w:val="99"/>
    <w:pPr>
      <w:snapToGrid w:val="0"/>
      <w:jc w:val="left"/>
    </w:pPr>
    <w:rPr>
      <w:sz w:val="18"/>
      <w:szCs w:val="18"/>
    </w:rPr>
  </w:style>
  <w:style w:type="paragraph" w:styleId="12">
    <w:name w:val="toc 2"/>
    <w:basedOn w:val="1"/>
    <w:next w:val="1"/>
    <w:unhideWhenUsed/>
    <w:qFormat/>
    <w:uiPriority w:val="39"/>
    <w:pPr>
      <w:ind w:left="420" w:leftChars="200"/>
    </w:pPr>
  </w:style>
  <w:style w:type="paragraph" w:styleId="13">
    <w:name w:val="Normal (Web)"/>
    <w:basedOn w:val="1"/>
    <w:qFormat/>
    <w:uiPriority w:val="99"/>
    <w:pPr>
      <w:spacing w:before="100" w:beforeAutospacing="1" w:after="100" w:afterAutospacing="1"/>
      <w:jc w:val="left"/>
    </w:pPr>
    <w:rPr>
      <w:rFonts w:ascii="Calibri" w:hAnsi="Calibri" w:eastAsia="宋体" w:cs="Times New Roman"/>
      <w:color w:val="000000"/>
      <w:kern w:val="0"/>
      <w:sz w:val="24"/>
    </w:rPr>
  </w:style>
  <w:style w:type="paragraph" w:styleId="14">
    <w:name w:val="Title"/>
    <w:basedOn w:val="1"/>
    <w:next w:val="1"/>
    <w:link w:val="22"/>
    <w:qFormat/>
    <w:uiPriority w:val="10"/>
    <w:pPr>
      <w:spacing w:before="240" w:after="60"/>
      <w:jc w:val="center"/>
      <w:outlineLvl w:val="0"/>
    </w:pPr>
    <w:rPr>
      <w:rFonts w:asciiTheme="majorHAnsi" w:hAnsiTheme="majorHAnsi" w:eastAsiaTheme="majorEastAsia" w:cstheme="majorBidi"/>
      <w:b/>
      <w:bCs/>
      <w:sz w:val="32"/>
      <w:szCs w:val="32"/>
    </w:rPr>
  </w:style>
  <w:style w:type="character" w:styleId="17">
    <w:name w:val="Strong"/>
    <w:basedOn w:val="16"/>
    <w:qFormat/>
    <w:uiPriority w:val="0"/>
    <w:rPr>
      <w:b/>
      <w:bCs/>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页眉 Char"/>
    <w:basedOn w:val="16"/>
    <w:link w:val="8"/>
    <w:qFormat/>
    <w:uiPriority w:val="99"/>
    <w:rPr>
      <w:sz w:val="18"/>
      <w:szCs w:val="18"/>
    </w:rPr>
  </w:style>
  <w:style w:type="character" w:customStyle="1" w:styleId="20">
    <w:name w:val="页脚 Char"/>
    <w:basedOn w:val="16"/>
    <w:link w:val="7"/>
    <w:qFormat/>
    <w:uiPriority w:val="99"/>
    <w:rPr>
      <w:sz w:val="18"/>
      <w:szCs w:val="18"/>
    </w:rPr>
  </w:style>
  <w:style w:type="paragraph" w:styleId="21">
    <w:name w:val="List Paragraph"/>
    <w:basedOn w:val="1"/>
    <w:unhideWhenUsed/>
    <w:qFormat/>
    <w:uiPriority w:val="99"/>
    <w:pPr>
      <w:ind w:firstLine="420" w:firstLineChars="200"/>
    </w:pPr>
  </w:style>
  <w:style w:type="character" w:customStyle="1" w:styleId="22">
    <w:name w:val="标题 Char"/>
    <w:basedOn w:val="16"/>
    <w:link w:val="14"/>
    <w:qFormat/>
    <w:uiPriority w:val="10"/>
    <w:rPr>
      <w:rFonts w:asciiTheme="majorHAnsi" w:hAnsiTheme="majorHAnsi" w:eastAsiaTheme="majorEastAsia" w:cstheme="majorBidi"/>
      <w:b/>
      <w:bCs/>
      <w:sz w:val="32"/>
      <w:szCs w:val="32"/>
    </w:rPr>
  </w:style>
  <w:style w:type="character" w:customStyle="1" w:styleId="23">
    <w:name w:val="标题 2 Char"/>
    <w:basedOn w:val="16"/>
    <w:link w:val="2"/>
    <w:qFormat/>
    <w:uiPriority w:val="9"/>
    <w:rPr>
      <w:rFonts w:asciiTheme="majorHAnsi" w:hAnsiTheme="majorHAnsi" w:eastAsiaTheme="majorEastAsia" w:cstheme="majorBidi"/>
      <w:b/>
      <w:bCs/>
      <w:sz w:val="32"/>
      <w:szCs w:val="32"/>
    </w:rPr>
  </w:style>
  <w:style w:type="character" w:customStyle="1" w:styleId="24">
    <w:name w:val="副标题 Char"/>
    <w:basedOn w:val="16"/>
    <w:link w:val="10"/>
    <w:qFormat/>
    <w:uiPriority w:val="11"/>
    <w:rPr>
      <w:b/>
      <w:bCs/>
      <w:kern w:val="28"/>
      <w:sz w:val="32"/>
      <w:szCs w:val="32"/>
    </w:rPr>
  </w:style>
  <w:style w:type="character" w:customStyle="1" w:styleId="25">
    <w:name w:val="标题 3 Char"/>
    <w:basedOn w:val="16"/>
    <w:link w:val="4"/>
    <w:qFormat/>
    <w:uiPriority w:val="9"/>
    <w:rPr>
      <w:b/>
      <w:bCs/>
      <w:sz w:val="32"/>
      <w:szCs w:val="32"/>
    </w:rPr>
  </w:style>
  <w:style w:type="character" w:styleId="26">
    <w:name w:val="Placeholder Text"/>
    <w:basedOn w:val="16"/>
    <w:semiHidden/>
    <w:qFormat/>
    <w:uiPriority w:val="99"/>
    <w:rPr>
      <w:color w:val="808080"/>
    </w:rPr>
  </w:style>
  <w:style w:type="character" w:customStyle="1" w:styleId="27">
    <w:name w:val="标题 1 Char"/>
    <w:basedOn w:val="16"/>
    <w:link w:val="3"/>
    <w:qFormat/>
    <w:uiPriority w:val="9"/>
    <w:rPr>
      <w:b/>
      <w:bCs/>
      <w:kern w:val="44"/>
      <w:sz w:val="44"/>
      <w:szCs w:val="44"/>
    </w:rPr>
  </w:style>
  <w:style w:type="paragraph" w:customStyle="1" w:styleId="28">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9">
    <w:name w:val="标题 4 Char"/>
    <w:basedOn w:val="16"/>
    <w:link w:val="5"/>
    <w:qFormat/>
    <w:uiPriority w:val="9"/>
    <w:rPr>
      <w:rFonts w:asciiTheme="majorHAnsi" w:hAnsiTheme="majorHAnsi" w:eastAsiaTheme="majorEastAsia" w:cstheme="majorBidi"/>
      <w:b/>
      <w:bCs/>
      <w:sz w:val="28"/>
      <w:szCs w:val="28"/>
    </w:rPr>
  </w:style>
  <w:style w:type="paragraph" w:customStyle="1" w:styleId="30">
    <w:name w:val="闻政-正文段落文字"/>
    <w:basedOn w:val="1"/>
    <w:qFormat/>
    <w:uiPriority w:val="3"/>
    <w:pPr>
      <w:spacing w:line="500" w:lineRule="exact"/>
      <w:ind w:firstLine="200"/>
    </w:pPr>
    <w:rPr>
      <w:rFonts w:ascii="Times New Roman" w:hAnsi="Times New Roman" w:eastAsia="宋体" w:cs="Times New Roman"/>
      <w:color w:val="000000"/>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AA9E9-8096-4CB0-8D8C-40EC6A81E00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7237</Words>
  <Characters>7711</Characters>
  <Lines>60</Lines>
  <Paragraphs>17</Paragraphs>
  <TotalTime>1</TotalTime>
  <ScaleCrop>false</ScaleCrop>
  <LinksUpToDate>false</LinksUpToDate>
  <CharactersWithSpaces>8165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2022-05-27T03:37:26Z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3FABE7961D61435086A240E9A70CB108</vt:lpwstr>
  </property>
</Properties>
</file>